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6C25F4AB" w:rsidR="00A54DBD" w:rsidRPr="000C472A" w:rsidRDefault="004E7732" w:rsidP="00A774A2">
            <w:pPr>
              <w:pStyle w:val="Naslov2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Osnove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tehnologije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hrane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3FA87992" w:rsidR="003F1AF6" w:rsidRPr="00050BAF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</w:t>
            </w:r>
            <w:r w:rsidR="00C3230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rno inženjerstvo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45D2E82E" w:rsidR="00407F5F" w:rsidRPr="00353F5C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prof. dr. sc. Nada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Vahčić</w:t>
            </w:r>
            <w:proofErr w:type="spellEnd"/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51780854" w:rsidR="00CE4A89" w:rsidRDefault="004E773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E773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prof. dr. sc. Nada </w:t>
            </w:r>
            <w:proofErr w:type="spellStart"/>
            <w:r w:rsidRPr="004E773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Vahčić</w:t>
            </w:r>
            <w:proofErr w:type="spellEnd"/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F9FC214" w:rsidR="005D2D5C" w:rsidRPr="00353F5C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0A50BFF6" w:rsidR="005D2D5C" w:rsidRPr="00353F5C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 i VI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0FCD0D4B" w:rsidR="00CC267B" w:rsidRPr="00604E5E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5,5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5836DC3C" w:rsidR="00CC267B" w:rsidRPr="00604E5E" w:rsidRDefault="002C4588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30P + 30S + 15 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327396FC" w:rsidR="000A69CE" w:rsidRPr="005B1112" w:rsidRDefault="005B1112" w:rsidP="005B1112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Upoznati studenta s industrijskom proizvodnjom brojnih prehrambenih proizvoda kao i brojnim suvremenim procesima u prehrambenoj industriji kao cjelini te specifičnostima pojedinih njenih</w:t>
            </w:r>
            <w:r w:rsidR="00742E37" w:rsidRPr="005B1112">
              <w:rPr>
                <w:rFonts w:ascii="Arial Narrow" w:eastAsia="MS Mincho" w:hAnsi="Arial Narrow" w:cs="Arial"/>
                <w:noProof/>
              </w:rPr>
              <w:t xml:space="preserve"> </w:t>
            </w:r>
            <w:r>
              <w:rPr>
                <w:rFonts w:ascii="Arial Narrow" w:eastAsia="MS Mincho" w:hAnsi="Arial Narrow" w:cs="Arial"/>
                <w:noProof/>
              </w:rPr>
              <w:t>grana.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EEBFF3C" w:rsidR="000A69CE" w:rsidRDefault="004E7732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09876C67" w14:textId="7143E534" w:rsidR="007C268B" w:rsidRPr="007C268B" w:rsidRDefault="007C268B" w:rsidP="007C268B">
            <w:pPr>
              <w:spacing w:before="60" w:after="60"/>
              <w:rPr>
                <w:rFonts w:ascii="Arial Narrow" w:eastAsiaTheme="minorHAnsi" w:hAnsi="Arial Narrow"/>
              </w:rPr>
            </w:pPr>
            <w:r w:rsidRPr="007C268B">
              <w:rPr>
                <w:rFonts w:ascii="Arial Narrow" w:eastAsiaTheme="minorHAnsi" w:hAnsi="Arial Narrow"/>
                <w:b/>
                <w:bCs/>
              </w:rPr>
              <w:t>IU 1</w:t>
            </w:r>
            <w:r w:rsidRPr="007C268B">
              <w:rPr>
                <w:rFonts w:ascii="Arial Narrow" w:eastAsiaTheme="minorHAnsi" w:hAnsi="Arial Narrow"/>
              </w:rPr>
              <w:t xml:space="preserve"> </w:t>
            </w:r>
            <w:r>
              <w:rPr>
                <w:rFonts w:ascii="Arial Narrow" w:eastAsiaTheme="minorHAnsi" w:hAnsi="Arial Narrow"/>
              </w:rPr>
              <w:t xml:space="preserve"> D</w:t>
            </w:r>
            <w:r w:rsidRPr="007C268B">
              <w:rPr>
                <w:rFonts w:ascii="Arial Narrow" w:eastAsiaTheme="minorHAnsi" w:hAnsi="Arial Narrow"/>
              </w:rPr>
              <w:t>efinirati sirovine za proizvodnju pojedinih prehrambenih proizvoda</w:t>
            </w:r>
          </w:p>
          <w:p w14:paraId="2B5673E0" w14:textId="54BCDD39" w:rsidR="007C268B" w:rsidRPr="007C268B" w:rsidRDefault="007C268B" w:rsidP="007C268B">
            <w:pPr>
              <w:spacing w:before="60" w:after="60"/>
              <w:rPr>
                <w:rFonts w:ascii="Arial Narrow" w:eastAsiaTheme="minorHAnsi" w:hAnsi="Arial Narrow"/>
              </w:rPr>
            </w:pPr>
            <w:r w:rsidRPr="007C268B">
              <w:rPr>
                <w:rFonts w:ascii="Arial Narrow" w:eastAsiaTheme="minorHAnsi" w:hAnsi="Arial Narrow"/>
                <w:b/>
                <w:bCs/>
              </w:rPr>
              <w:t>IU</w:t>
            </w:r>
            <w:r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Pr="007C268B">
              <w:rPr>
                <w:rFonts w:ascii="Arial Narrow" w:eastAsiaTheme="minorHAnsi" w:hAnsi="Arial Narrow"/>
                <w:b/>
                <w:bCs/>
              </w:rPr>
              <w:t>2</w:t>
            </w:r>
            <w:r>
              <w:rPr>
                <w:rFonts w:ascii="Arial Narrow" w:eastAsiaTheme="minorHAnsi" w:hAnsi="Arial Narrow"/>
              </w:rPr>
              <w:t xml:space="preserve">  N</w:t>
            </w:r>
            <w:r w:rsidRPr="007C268B">
              <w:rPr>
                <w:rFonts w:ascii="Arial Narrow" w:eastAsiaTheme="minorHAnsi" w:hAnsi="Arial Narrow"/>
              </w:rPr>
              <w:t xml:space="preserve">abrojati tehnološke procese proizvodnje pojedinih </w:t>
            </w:r>
            <w:proofErr w:type="spellStart"/>
            <w:r w:rsidRPr="007C268B">
              <w:rPr>
                <w:rFonts w:ascii="Arial Narrow" w:eastAsiaTheme="minorHAnsi" w:hAnsi="Arial Narrow"/>
              </w:rPr>
              <w:t>preh</w:t>
            </w:r>
            <w:proofErr w:type="spellEnd"/>
            <w:r w:rsidRPr="007C268B">
              <w:rPr>
                <w:rFonts w:ascii="Arial Narrow" w:eastAsiaTheme="minorHAnsi" w:hAnsi="Arial Narrow"/>
              </w:rPr>
              <w:t>. proizvoda</w:t>
            </w:r>
          </w:p>
          <w:p w14:paraId="2EA824A7" w14:textId="3F73344E" w:rsidR="007C268B" w:rsidRPr="007C268B" w:rsidRDefault="007C268B" w:rsidP="007C268B">
            <w:pPr>
              <w:spacing w:before="60" w:after="60"/>
              <w:rPr>
                <w:rFonts w:ascii="Arial Narrow" w:eastAsiaTheme="minorHAnsi" w:hAnsi="Arial Narrow"/>
              </w:rPr>
            </w:pPr>
            <w:r w:rsidRPr="007C268B">
              <w:rPr>
                <w:rFonts w:ascii="Arial Narrow" w:eastAsiaTheme="minorHAnsi" w:hAnsi="Arial Narrow"/>
                <w:b/>
                <w:bCs/>
              </w:rPr>
              <w:t>IU</w:t>
            </w:r>
            <w:r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Pr="007C268B">
              <w:rPr>
                <w:rFonts w:ascii="Arial Narrow" w:eastAsiaTheme="minorHAnsi" w:hAnsi="Arial Narrow"/>
                <w:b/>
                <w:bCs/>
              </w:rPr>
              <w:t>3</w:t>
            </w:r>
            <w:r w:rsidRPr="007C268B">
              <w:rPr>
                <w:rFonts w:ascii="Arial Narrow" w:eastAsiaTheme="minorHAnsi" w:hAnsi="Arial Narrow"/>
              </w:rPr>
              <w:t xml:space="preserve"> </w:t>
            </w:r>
            <w:r>
              <w:rPr>
                <w:rFonts w:ascii="Arial Narrow" w:eastAsiaTheme="minorHAnsi" w:hAnsi="Arial Narrow"/>
              </w:rPr>
              <w:t xml:space="preserve"> O</w:t>
            </w:r>
            <w:r w:rsidRPr="007C268B">
              <w:rPr>
                <w:rFonts w:ascii="Arial Narrow" w:eastAsiaTheme="minorHAnsi" w:hAnsi="Arial Narrow"/>
              </w:rPr>
              <w:t>pisati tehnološke postupke proizvodnje pojedinih prehrambenih proizvoda</w:t>
            </w:r>
          </w:p>
          <w:p w14:paraId="0392F110" w14:textId="78ECA8A2" w:rsidR="007C268B" w:rsidRPr="007C268B" w:rsidRDefault="007C268B" w:rsidP="007C268B">
            <w:pPr>
              <w:spacing w:before="60" w:after="60"/>
              <w:rPr>
                <w:rFonts w:ascii="Arial Narrow" w:eastAsiaTheme="minorHAnsi" w:hAnsi="Arial Narrow"/>
              </w:rPr>
            </w:pPr>
            <w:r w:rsidRPr="007C268B">
              <w:rPr>
                <w:rFonts w:ascii="Arial Narrow" w:eastAsiaTheme="minorHAnsi" w:hAnsi="Arial Narrow"/>
                <w:b/>
                <w:bCs/>
              </w:rPr>
              <w:t>IU 4</w:t>
            </w:r>
            <w:r>
              <w:rPr>
                <w:rFonts w:ascii="Arial Narrow" w:eastAsiaTheme="minorHAnsi" w:hAnsi="Arial Narrow"/>
              </w:rPr>
              <w:t xml:space="preserve">  R</w:t>
            </w:r>
            <w:r w:rsidRPr="007C268B">
              <w:rPr>
                <w:rFonts w:ascii="Arial Narrow" w:eastAsiaTheme="minorHAnsi" w:hAnsi="Arial Narrow"/>
              </w:rPr>
              <w:t>azlikovati pojedine tehnološke procese i faze u proizvodnji</w:t>
            </w:r>
          </w:p>
          <w:p w14:paraId="239EDFDF" w14:textId="2820103D" w:rsidR="007C268B" w:rsidRPr="007C268B" w:rsidRDefault="007C268B" w:rsidP="007C268B">
            <w:pPr>
              <w:spacing w:before="60" w:after="60"/>
              <w:rPr>
                <w:rFonts w:ascii="Arial Narrow" w:eastAsiaTheme="minorHAnsi" w:hAnsi="Arial Narrow"/>
              </w:rPr>
            </w:pPr>
            <w:r w:rsidRPr="007C268B">
              <w:rPr>
                <w:rFonts w:ascii="Arial Narrow" w:eastAsiaTheme="minorHAnsi" w:hAnsi="Arial Narrow"/>
                <w:b/>
                <w:bCs/>
              </w:rPr>
              <w:t>IU 5</w:t>
            </w:r>
            <w:r>
              <w:rPr>
                <w:rFonts w:ascii="Arial Narrow" w:eastAsiaTheme="minorHAnsi" w:hAnsi="Arial Narrow"/>
              </w:rPr>
              <w:t xml:space="preserve">  </w:t>
            </w:r>
            <w:r w:rsidRPr="007C268B">
              <w:rPr>
                <w:rFonts w:ascii="Arial Narrow" w:eastAsiaTheme="minorHAnsi" w:hAnsi="Arial Narrow"/>
              </w:rPr>
              <w:t>Objasniti promjene koje se događaju tijekom prerade</w:t>
            </w:r>
            <w:r w:rsidR="00C3230E">
              <w:rPr>
                <w:rFonts w:ascii="Arial Narrow" w:eastAsiaTheme="minorHAnsi" w:hAnsi="Arial Narrow"/>
              </w:rPr>
              <w:t>,</w:t>
            </w:r>
            <w:r w:rsidRPr="007C268B">
              <w:rPr>
                <w:rFonts w:ascii="Arial Narrow" w:eastAsiaTheme="minorHAnsi" w:hAnsi="Arial Narrow"/>
              </w:rPr>
              <w:t xml:space="preserve"> a koje utječu na k</w:t>
            </w:r>
            <w:r w:rsidR="00C3230E">
              <w:rPr>
                <w:rFonts w:ascii="Arial Narrow" w:eastAsiaTheme="minorHAnsi" w:hAnsi="Arial Narrow"/>
              </w:rPr>
              <w:t>valitetu</w:t>
            </w:r>
            <w:r w:rsidRPr="007C268B">
              <w:rPr>
                <w:rFonts w:ascii="Arial Narrow" w:eastAsiaTheme="minorHAnsi" w:hAnsi="Arial Narrow"/>
              </w:rPr>
              <w:t xml:space="preserve"> i prehrambenu vrijednost proizvoda</w:t>
            </w:r>
          </w:p>
          <w:p w14:paraId="7D11BC16" w14:textId="23DDB0FA" w:rsidR="00953340" w:rsidRPr="007C268B" w:rsidRDefault="00953340" w:rsidP="007C268B">
            <w:pPr>
              <w:spacing w:before="60" w:after="6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25BF476" w14:textId="4BD29022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Općenito o namirnicama i zakonski propisi  vezani za njihovu proizvodnju i kvalitetu</w:t>
            </w:r>
            <w:r>
              <w:rPr>
                <w:rFonts w:ascii="Arial Narrow" w:hAnsi="Arial Narrow" w:cs="Arial"/>
              </w:rPr>
              <w:t xml:space="preserve"> 1P </w:t>
            </w:r>
            <w:r w:rsidR="000E07C3">
              <w:rPr>
                <w:rFonts w:ascii="Arial Narrow" w:hAnsi="Arial Narrow" w:cs="Arial"/>
              </w:rPr>
              <w:t xml:space="preserve"> (IU2)</w:t>
            </w:r>
          </w:p>
          <w:p w14:paraId="0CBE2F68" w14:textId="3C9EF2CD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Tehnologija proizvodnje brašna, kruha i  tjestenina</w:t>
            </w:r>
            <w:r>
              <w:rPr>
                <w:rFonts w:ascii="Arial Narrow" w:hAnsi="Arial Narrow" w:cs="Arial"/>
              </w:rPr>
              <w:t xml:space="preserve"> 1P + 1S (IU1 – IU5)</w:t>
            </w:r>
          </w:p>
          <w:p w14:paraId="772D68C4" w14:textId="7618A3FF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Općenito o voću i tehnologija proizvodnje nekih proizvoda od voća</w:t>
            </w:r>
            <w:r>
              <w:rPr>
                <w:rFonts w:ascii="Arial Narrow" w:hAnsi="Arial Narrow" w:cs="Arial"/>
              </w:rPr>
              <w:t xml:space="preserve"> (</w:t>
            </w:r>
            <w:r w:rsidRPr="00FD0116">
              <w:rPr>
                <w:rFonts w:ascii="Arial Narrow" w:hAnsi="Arial Narrow" w:cs="Arial"/>
              </w:rPr>
              <w:t>Tehnologija proizvodnje sokova, džemova, pekmeza i marmelada, smrznutog i sušenog voća</w:t>
            </w:r>
            <w:r>
              <w:rPr>
                <w:rFonts w:ascii="Arial Narrow" w:hAnsi="Arial Narrow" w:cs="Arial"/>
              </w:rPr>
              <w:t>) 2P +3S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24192C0E" w14:textId="5F328FC9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Općenito o povrću i tehnologija proizvodnje nekih proizvoda od povrća</w:t>
            </w:r>
            <w:r>
              <w:t xml:space="preserve"> (</w:t>
            </w:r>
            <w:r w:rsidRPr="00FD0116">
              <w:rPr>
                <w:rFonts w:ascii="Arial Narrow" w:hAnsi="Arial Narrow" w:cs="Arial"/>
              </w:rPr>
              <w:t>Tehnologija proizvodnje mariniranog, steriliziranog i biološki konzerviranog povrća, sušenog i smrznutog povrća</w:t>
            </w:r>
            <w:r>
              <w:rPr>
                <w:rFonts w:ascii="Arial Narrow" w:hAnsi="Arial Narrow" w:cs="Arial"/>
              </w:rPr>
              <w:t xml:space="preserve">) </w:t>
            </w:r>
            <w:r w:rsidR="000E07C3">
              <w:rPr>
                <w:rFonts w:ascii="Arial Narrow" w:hAnsi="Arial Narrow" w:cs="Arial"/>
              </w:rPr>
              <w:t xml:space="preserve">           </w:t>
            </w:r>
            <w:r>
              <w:rPr>
                <w:rFonts w:ascii="Arial Narrow" w:hAnsi="Arial Narrow" w:cs="Arial"/>
              </w:rPr>
              <w:t xml:space="preserve">2P + 3S 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74BBCA82" w14:textId="4AE604E2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Tehnologija proizvodnje kukuruznog i krumpirovog škroba</w:t>
            </w:r>
            <w:r>
              <w:rPr>
                <w:rFonts w:ascii="Arial Narrow" w:hAnsi="Arial Narrow" w:cs="Arial"/>
              </w:rPr>
              <w:t xml:space="preserve">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6354CA9F" w14:textId="540379F3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Tehnologija proizvodnje šećera iz šećerne repe i šećerne trske</w:t>
            </w:r>
            <w:r>
              <w:rPr>
                <w:rFonts w:ascii="Arial Narrow" w:hAnsi="Arial Narrow" w:cs="Arial"/>
              </w:rPr>
              <w:t xml:space="preserve">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46EE1718" w14:textId="6BB1A5FF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Tehnologija proizvodnje bombona</w:t>
            </w:r>
            <w:r>
              <w:rPr>
                <w:rFonts w:ascii="Arial Narrow" w:hAnsi="Arial Narrow" w:cs="Arial"/>
              </w:rPr>
              <w:t xml:space="preserve">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36F8CBAF" w14:textId="54BFF59D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 xml:space="preserve">Tehnologija proizvodnje </w:t>
            </w:r>
            <w:proofErr w:type="spellStart"/>
            <w:r w:rsidRPr="00FD0116">
              <w:rPr>
                <w:rFonts w:ascii="Arial Narrow" w:hAnsi="Arial Narrow" w:cs="Arial"/>
              </w:rPr>
              <w:t>kakaoa</w:t>
            </w:r>
            <w:proofErr w:type="spellEnd"/>
            <w:r w:rsidRPr="00FD0116">
              <w:rPr>
                <w:rFonts w:ascii="Arial Narrow" w:hAnsi="Arial Narrow" w:cs="Arial"/>
              </w:rPr>
              <w:t xml:space="preserve"> i čokolade</w:t>
            </w:r>
            <w:r>
              <w:rPr>
                <w:rFonts w:ascii="Arial Narrow" w:hAnsi="Arial Narrow" w:cs="Arial"/>
              </w:rPr>
              <w:t xml:space="preserve">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01AADBDC" w14:textId="294F2323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Proizvodnja piva</w:t>
            </w:r>
            <w:r w:rsidR="007A2395">
              <w:rPr>
                <w:rFonts w:ascii="Arial Narrow" w:hAnsi="Arial Narrow" w:cs="Arial"/>
              </w:rPr>
              <w:t xml:space="preserve">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12C12DE3" w14:textId="03B7442B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 xml:space="preserve">Proizvodnja </w:t>
            </w:r>
            <w:r w:rsidR="007A2395">
              <w:rPr>
                <w:rFonts w:ascii="Arial Narrow" w:hAnsi="Arial Narrow" w:cs="Arial"/>
              </w:rPr>
              <w:t xml:space="preserve">bijelih i crnih </w:t>
            </w:r>
            <w:r w:rsidRPr="00FD0116">
              <w:rPr>
                <w:rFonts w:ascii="Arial Narrow" w:hAnsi="Arial Narrow" w:cs="Arial"/>
              </w:rPr>
              <w:t>vina</w:t>
            </w:r>
            <w:r w:rsidR="007A2395">
              <w:rPr>
                <w:rFonts w:ascii="Arial Narrow" w:hAnsi="Arial Narrow" w:cs="Arial"/>
              </w:rPr>
              <w:t xml:space="preserve">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180A2254" w14:textId="6B28DD90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Proizvodnja nekih žestokih alkoholnih pića</w:t>
            </w:r>
            <w:r w:rsidR="007A2395">
              <w:rPr>
                <w:rFonts w:ascii="Arial Narrow" w:hAnsi="Arial Narrow" w:cs="Arial"/>
              </w:rPr>
              <w:t xml:space="preserve"> (votka, viski, džin, voćne rakije)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57D3B839" w14:textId="5127E44E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lastRenderedPageBreak/>
              <w:t>Proizvodnja bezalkoholnih pića</w:t>
            </w:r>
            <w:r w:rsidR="007A2395">
              <w:rPr>
                <w:rFonts w:ascii="Arial Narrow" w:hAnsi="Arial Narrow" w:cs="Arial"/>
              </w:rPr>
              <w:t xml:space="preserve">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704F3606" w14:textId="3E85B8CF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Tehnologija proizvodnje kave i čaja</w:t>
            </w:r>
            <w:r w:rsidR="007A2395">
              <w:rPr>
                <w:rFonts w:ascii="Arial Narrow" w:hAnsi="Arial Narrow" w:cs="Arial"/>
              </w:rPr>
              <w:t xml:space="preserve">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29D883C9" w14:textId="53549E62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 xml:space="preserve">Mlijeko i mliječni proizvodi, podjela, procesi u proizvodnji </w:t>
            </w:r>
            <w:r w:rsidR="007A2395">
              <w:rPr>
                <w:rFonts w:ascii="Arial Narrow" w:hAnsi="Arial Narrow" w:cs="Arial"/>
              </w:rPr>
              <w:t>1P</w:t>
            </w:r>
            <w:r w:rsidR="000E07C3">
              <w:rPr>
                <w:rFonts w:ascii="Arial Narrow" w:hAnsi="Arial Narrow" w:cs="Arial"/>
              </w:rPr>
              <w:t xml:space="preserve"> (IU2)</w:t>
            </w:r>
          </w:p>
          <w:p w14:paraId="72447661" w14:textId="445D561C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Tehnologija proizvodnje konzumnog mlijeka</w:t>
            </w:r>
            <w:r w:rsidR="007A2395">
              <w:rPr>
                <w:rFonts w:ascii="Arial Narrow" w:hAnsi="Arial Narrow" w:cs="Arial"/>
              </w:rPr>
              <w:t xml:space="preserve">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477E6890" w14:textId="5F2F17A1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Tehnologija proizvodnje fermentiranih mliječnih proizvoda</w:t>
            </w:r>
            <w:r w:rsidR="007A2395">
              <w:rPr>
                <w:rFonts w:ascii="Arial Narrow" w:hAnsi="Arial Narrow" w:cs="Arial"/>
              </w:rPr>
              <w:t xml:space="preserve"> 2P + </w:t>
            </w:r>
            <w:r w:rsidR="005B1112">
              <w:rPr>
                <w:rFonts w:ascii="Arial Narrow" w:hAnsi="Arial Narrow" w:cs="Arial"/>
              </w:rPr>
              <w:t>2</w:t>
            </w:r>
            <w:r w:rsidR="000E07C3">
              <w:rPr>
                <w:rFonts w:ascii="Arial Narrow" w:hAnsi="Arial Narrow" w:cs="Arial"/>
              </w:rPr>
              <w:t xml:space="preserve">S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577E49EE" w14:textId="494E7D4A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Sirevi: definicija, podjele, procesi u proizvodnji ...</w:t>
            </w:r>
            <w:r w:rsidR="007A2395">
              <w:rPr>
                <w:rFonts w:ascii="Arial Narrow" w:hAnsi="Arial Narrow" w:cs="Arial"/>
              </w:rPr>
              <w:t xml:space="preserve"> 1P</w:t>
            </w:r>
            <w:r w:rsidR="000E07C3">
              <w:rPr>
                <w:rFonts w:ascii="Arial Narrow" w:hAnsi="Arial Narrow" w:cs="Arial"/>
              </w:rPr>
              <w:t xml:space="preserve"> (IU2)</w:t>
            </w:r>
          </w:p>
          <w:p w14:paraId="22E725B3" w14:textId="1F92326E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Tehnologija  proizvodnje mekih, polutvrdih i tvrdih sireva</w:t>
            </w:r>
            <w:r w:rsidR="007A2395">
              <w:rPr>
                <w:rFonts w:ascii="Arial Narrow" w:hAnsi="Arial Narrow" w:cs="Arial"/>
              </w:rPr>
              <w:t xml:space="preserve"> 1P + </w:t>
            </w:r>
            <w:r w:rsidR="005B1112">
              <w:rPr>
                <w:rFonts w:ascii="Arial Narrow" w:hAnsi="Arial Narrow" w:cs="Arial"/>
              </w:rPr>
              <w:t>2</w:t>
            </w:r>
            <w:r w:rsidR="007A2395">
              <w:rPr>
                <w:rFonts w:ascii="Arial Narrow" w:hAnsi="Arial Narrow" w:cs="Arial"/>
              </w:rPr>
              <w:t>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189E0FA2" w14:textId="3BDB5FE1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 xml:space="preserve">Ulja i masti, općenito, podjela prema </w:t>
            </w:r>
            <w:r w:rsidR="007A2395">
              <w:rPr>
                <w:rFonts w:ascii="Arial Narrow" w:hAnsi="Arial Narrow" w:cs="Arial"/>
              </w:rPr>
              <w:t>P</w:t>
            </w:r>
            <w:r w:rsidRPr="00FD0116">
              <w:rPr>
                <w:rFonts w:ascii="Arial Narrow" w:hAnsi="Arial Narrow" w:cs="Arial"/>
              </w:rPr>
              <w:t>ravilniku</w:t>
            </w:r>
            <w:r w:rsidR="007A2395">
              <w:rPr>
                <w:rFonts w:ascii="Arial Narrow" w:hAnsi="Arial Narrow" w:cs="Arial"/>
              </w:rPr>
              <w:t xml:space="preserve"> 1P</w:t>
            </w:r>
            <w:r w:rsidR="000E07C3">
              <w:rPr>
                <w:rFonts w:ascii="Arial Narrow" w:hAnsi="Arial Narrow" w:cs="Arial"/>
              </w:rPr>
              <w:t xml:space="preserve"> (IU2)</w:t>
            </w:r>
          </w:p>
          <w:p w14:paraId="02CA77E5" w14:textId="69C2DE69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Tehnologija proizvodnje rafiniranih biljnih ulja</w:t>
            </w:r>
            <w:r w:rsidR="007A2395">
              <w:rPr>
                <w:rFonts w:ascii="Arial Narrow" w:hAnsi="Arial Narrow" w:cs="Arial"/>
              </w:rPr>
              <w:t xml:space="preserve">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2C664EF4" w14:textId="7B1818B7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Proizvodnja  hladno prešanih biljnih ulja</w:t>
            </w:r>
            <w:r w:rsidR="007A2395">
              <w:rPr>
                <w:rFonts w:ascii="Arial Narrow" w:hAnsi="Arial Narrow" w:cs="Arial"/>
              </w:rPr>
              <w:t xml:space="preserve">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6BEFBA69" w14:textId="0A6E149C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 xml:space="preserve">Meso i proizvodi od mesa, definicije i podjela prema </w:t>
            </w:r>
            <w:r w:rsidR="007A2395">
              <w:rPr>
                <w:rFonts w:ascii="Arial Narrow" w:hAnsi="Arial Narrow" w:cs="Arial"/>
              </w:rPr>
              <w:t>P</w:t>
            </w:r>
            <w:r w:rsidRPr="00FD0116">
              <w:rPr>
                <w:rFonts w:ascii="Arial Narrow" w:hAnsi="Arial Narrow" w:cs="Arial"/>
              </w:rPr>
              <w:t>ravilniku</w:t>
            </w:r>
            <w:r w:rsidR="007A2395">
              <w:rPr>
                <w:rFonts w:ascii="Arial Narrow" w:hAnsi="Arial Narrow" w:cs="Arial"/>
              </w:rPr>
              <w:t xml:space="preserve"> 1P</w:t>
            </w:r>
            <w:r w:rsidR="000E07C3">
              <w:rPr>
                <w:rFonts w:ascii="Arial Narrow" w:hAnsi="Arial Narrow" w:cs="Arial"/>
              </w:rPr>
              <w:t xml:space="preserve"> (IU2)</w:t>
            </w:r>
          </w:p>
          <w:p w14:paraId="66CF41D5" w14:textId="63015926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Sirovine u mesnoj industriji, tehnologija klanja</w:t>
            </w:r>
            <w:r w:rsidR="007A2395">
              <w:rPr>
                <w:rFonts w:ascii="Arial Narrow" w:hAnsi="Arial Narrow" w:cs="Arial"/>
              </w:rPr>
              <w:t xml:space="preserve"> svinja, goveda i peradi 1P + 1S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381D739A" w14:textId="5A404E2C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 xml:space="preserve">Tehnologija proizvodnje </w:t>
            </w:r>
            <w:r w:rsidR="007A2395">
              <w:rPr>
                <w:rFonts w:ascii="Arial Narrow" w:hAnsi="Arial Narrow" w:cs="Arial"/>
              </w:rPr>
              <w:t>toplinski obrađenih mesnih proizvoda (hrenovke, pašteta, k</w:t>
            </w:r>
            <w:r w:rsidR="005B1112">
              <w:rPr>
                <w:rFonts w:ascii="Arial Narrow" w:hAnsi="Arial Narrow" w:cs="Arial"/>
              </w:rPr>
              <w:t>u</w:t>
            </w:r>
            <w:r w:rsidR="007A2395">
              <w:rPr>
                <w:rFonts w:ascii="Arial Narrow" w:hAnsi="Arial Narrow" w:cs="Arial"/>
              </w:rPr>
              <w:t>hana šunka)</w:t>
            </w:r>
            <w:r w:rsidR="00492FE1">
              <w:rPr>
                <w:rFonts w:ascii="Arial Narrow" w:hAnsi="Arial Narrow" w:cs="Arial"/>
              </w:rPr>
              <w:t xml:space="preserve"> 1P + 2S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5CE8B203" w14:textId="7915C72C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 xml:space="preserve">Tehnologija proizvodnje </w:t>
            </w:r>
            <w:r w:rsidR="007A2395">
              <w:rPr>
                <w:rFonts w:ascii="Arial Narrow" w:hAnsi="Arial Narrow" w:cs="Arial"/>
              </w:rPr>
              <w:t>toplinski neobrađenih mesnih proizvoda</w:t>
            </w:r>
            <w:r w:rsidR="00492FE1">
              <w:rPr>
                <w:rFonts w:ascii="Arial Narrow" w:hAnsi="Arial Narrow" w:cs="Arial"/>
              </w:rPr>
              <w:t xml:space="preserve"> (suha šunka, zimska, čajna srijemska kobasica) 1P + 2S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6601F979" w14:textId="3C0A1B01" w:rsidR="00FD0116" w:rsidRPr="00FD011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Tehnologija proizvodnje autohtonih proizvoda (pršuta</w:t>
            </w:r>
            <w:r w:rsidR="00492FE1">
              <w:rPr>
                <w:rFonts w:ascii="Arial Narrow" w:hAnsi="Arial Narrow" w:cs="Arial"/>
              </w:rPr>
              <w:t>,</w:t>
            </w:r>
            <w:r w:rsidRPr="00FD0116">
              <w:rPr>
                <w:rFonts w:ascii="Arial Narrow" w:hAnsi="Arial Narrow" w:cs="Arial"/>
              </w:rPr>
              <w:t xml:space="preserve"> kulena</w:t>
            </w:r>
            <w:r w:rsidR="00492FE1">
              <w:rPr>
                <w:rFonts w:ascii="Arial Narrow" w:hAnsi="Arial Narrow" w:cs="Arial"/>
              </w:rPr>
              <w:t xml:space="preserve"> i pancete</w:t>
            </w:r>
            <w:r w:rsidRPr="00FD0116">
              <w:rPr>
                <w:rFonts w:ascii="Arial Narrow" w:hAnsi="Arial Narrow" w:cs="Arial"/>
              </w:rPr>
              <w:t>)</w:t>
            </w:r>
            <w:r w:rsidR="00492FE1">
              <w:rPr>
                <w:rFonts w:ascii="Arial Narrow" w:hAnsi="Arial Narrow" w:cs="Arial"/>
              </w:rPr>
              <w:t xml:space="preserve"> 1P + 2S</w:t>
            </w:r>
            <w:r w:rsidR="000E07C3">
              <w:rPr>
                <w:rFonts w:ascii="Arial Narrow" w:hAnsi="Arial Narrow" w:cs="Arial"/>
              </w:rPr>
              <w:t xml:space="preserve"> </w:t>
            </w:r>
            <w:r w:rsidR="000E07C3" w:rsidRPr="000E07C3">
              <w:rPr>
                <w:rFonts w:ascii="Arial Narrow" w:hAnsi="Arial Narrow" w:cs="Arial"/>
              </w:rPr>
              <w:t>(IU1 – IU5)</w:t>
            </w:r>
          </w:p>
          <w:p w14:paraId="0B3988EC" w14:textId="044D1B91" w:rsidR="00576ED1" w:rsidRPr="008C6476" w:rsidRDefault="00FD0116" w:rsidP="00FD0116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FD0116">
              <w:rPr>
                <w:rFonts w:ascii="Arial Narrow" w:hAnsi="Arial Narrow" w:cs="Arial"/>
              </w:rPr>
              <w:t>Tehnologija proizvodnje ostalih proizvoda od mesa</w:t>
            </w:r>
            <w:r w:rsidR="00492FE1">
              <w:rPr>
                <w:rFonts w:ascii="Arial Narrow" w:hAnsi="Arial Narrow" w:cs="Arial"/>
              </w:rPr>
              <w:t xml:space="preserve"> 1P</w:t>
            </w:r>
            <w:r w:rsidR="000E07C3">
              <w:rPr>
                <w:rFonts w:ascii="Arial Narrow" w:hAnsi="Arial Narrow" w:cs="Arial"/>
              </w:rPr>
              <w:t xml:space="preserve"> (IU2)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766A4257" w14:textId="77777777" w:rsidR="001A766D" w:rsidRDefault="001A766D" w:rsidP="001A766D">
            <w:pPr>
              <w:pStyle w:val="Odlomakpopisa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Prisu</w:t>
            </w:r>
            <w:r>
              <w:rPr>
                <w:rFonts w:ascii="Arial Narrow" w:hAnsi="Arial Narrow"/>
              </w:rPr>
              <w:t>stvovanje</w:t>
            </w:r>
            <w:r w:rsidRPr="001F4249">
              <w:rPr>
                <w:rFonts w:ascii="Arial Narrow" w:hAnsi="Arial Narrow"/>
              </w:rPr>
              <w:t xml:space="preserve"> nastavi</w:t>
            </w:r>
          </w:p>
          <w:p w14:paraId="0ACA6698" w14:textId="77777777" w:rsidR="00F612D6" w:rsidRDefault="00F612D6" w:rsidP="00F612D6">
            <w:pPr>
              <w:pStyle w:val="Odlomakpopisa"/>
              <w:spacing w:before="60" w:after="60"/>
              <w:ind w:left="601"/>
              <w:rPr>
                <w:rFonts w:ascii="Arial Narrow" w:hAnsi="Arial Narrow"/>
              </w:rPr>
            </w:pPr>
          </w:p>
          <w:p w14:paraId="79CBBD34" w14:textId="3B89E675" w:rsidR="001A766D" w:rsidRDefault="001A766D" w:rsidP="001A766D">
            <w:pPr>
              <w:pStyle w:val="Odlomakpopisa"/>
              <w:numPr>
                <w:ilvl w:val="0"/>
                <w:numId w:val="17"/>
              </w:numPr>
              <w:spacing w:before="60" w:after="60"/>
              <w:ind w:left="601" w:hanging="283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Aktivno sudjelovanje u nastavi</w:t>
            </w:r>
            <w:r w:rsidR="00AC159F">
              <w:rPr>
                <w:rFonts w:ascii="Arial Narrow" w:hAnsi="Arial Narrow"/>
              </w:rPr>
              <w:t xml:space="preserve"> – prezentacija </w:t>
            </w:r>
            <w:proofErr w:type="spellStart"/>
            <w:r w:rsidR="00AC159F">
              <w:rPr>
                <w:rFonts w:ascii="Arial Narrow" w:hAnsi="Arial Narrow"/>
              </w:rPr>
              <w:t>seminarskor</w:t>
            </w:r>
            <w:proofErr w:type="spellEnd"/>
            <w:r w:rsidR="00AC159F">
              <w:rPr>
                <w:rFonts w:ascii="Arial Narrow" w:hAnsi="Arial Narrow"/>
              </w:rPr>
              <w:t xml:space="preserve"> rada</w:t>
            </w:r>
          </w:p>
          <w:p w14:paraId="769FB880" w14:textId="77777777" w:rsidR="005403D2" w:rsidRPr="005403D2" w:rsidRDefault="005403D2" w:rsidP="005403D2">
            <w:pPr>
              <w:pStyle w:val="Odlomakpopisa"/>
              <w:rPr>
                <w:rFonts w:ascii="Arial Narrow" w:hAnsi="Arial Narrow"/>
              </w:rPr>
            </w:pPr>
          </w:p>
          <w:p w14:paraId="06E0BC2D" w14:textId="345AE508" w:rsidR="005403D2" w:rsidRDefault="005403D2" w:rsidP="001A766D">
            <w:pPr>
              <w:pStyle w:val="Odlomakpopisa"/>
              <w:numPr>
                <w:ilvl w:val="0"/>
                <w:numId w:val="17"/>
              </w:numPr>
              <w:spacing w:before="60" w:after="60"/>
              <w:ind w:left="601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Izrada seminarskog rada</w:t>
            </w:r>
          </w:p>
          <w:p w14:paraId="12CBC47B" w14:textId="77777777" w:rsidR="00AC159F" w:rsidRPr="00AC159F" w:rsidRDefault="00AC159F" w:rsidP="00AC159F">
            <w:pPr>
              <w:pStyle w:val="Odlomakpopisa"/>
              <w:rPr>
                <w:rFonts w:ascii="Arial Narrow" w:hAnsi="Arial Narrow"/>
              </w:rPr>
            </w:pPr>
          </w:p>
          <w:p w14:paraId="1E11252C" w14:textId="21CCF59D" w:rsidR="00AC159F" w:rsidRDefault="00AC159F" w:rsidP="001A766D">
            <w:pPr>
              <w:pStyle w:val="Odlomakpopisa"/>
              <w:numPr>
                <w:ilvl w:val="0"/>
                <w:numId w:val="17"/>
              </w:numPr>
              <w:spacing w:before="60" w:after="60"/>
              <w:ind w:left="601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polaganje ispita: preko šest parcijalnih ispita ili jednog završnog ispita (cijelo gradivo)</w:t>
            </w:r>
          </w:p>
          <w:p w14:paraId="155D789C" w14:textId="2D967032" w:rsidR="001A766D" w:rsidRDefault="001A766D" w:rsidP="00F00968">
            <w:pPr>
              <w:pStyle w:val="Odlomakpopisa"/>
              <w:spacing w:before="60" w:after="60"/>
              <w:ind w:left="1169"/>
              <w:contextualSpacing w:val="0"/>
              <w:rPr>
                <w:rFonts w:ascii="Arial Narrow" w:hAnsi="Arial Narrow"/>
              </w:rPr>
            </w:pP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95CC830" w14:textId="77777777" w:rsidR="00720568" w:rsidRDefault="00720568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Pozitivno ocijenjeni seminari. </w:t>
            </w:r>
            <w:r w:rsidR="005403D2" w:rsidRPr="005403D2">
              <w:rPr>
                <w:rFonts w:ascii="Arial Narrow" w:hAnsi="Arial Narrow"/>
                <w:color w:val="000000"/>
              </w:rPr>
              <w:t xml:space="preserve">Parcijalni ispiti (6 ispita) tijekom oba semestra. </w:t>
            </w:r>
            <w:r w:rsidR="005403D2">
              <w:rPr>
                <w:rFonts w:ascii="Arial Narrow" w:hAnsi="Arial Narrow"/>
                <w:color w:val="000000"/>
              </w:rPr>
              <w:t xml:space="preserve">Prosječna ocjena svih </w:t>
            </w:r>
            <w:r>
              <w:rPr>
                <w:rFonts w:ascii="Arial Narrow" w:hAnsi="Arial Narrow"/>
                <w:color w:val="000000"/>
              </w:rPr>
              <w:t>parcijalnih ispita</w:t>
            </w:r>
            <w:r w:rsidR="005403D2">
              <w:rPr>
                <w:rFonts w:ascii="Arial Narrow" w:hAnsi="Arial Narrow"/>
                <w:color w:val="000000"/>
              </w:rPr>
              <w:t xml:space="preserve"> je konačna ocjena predmeta. </w:t>
            </w:r>
            <w:r w:rsidR="005403D2" w:rsidRPr="005403D2">
              <w:rPr>
                <w:rFonts w:ascii="Arial Narrow" w:hAnsi="Arial Narrow"/>
                <w:color w:val="000000"/>
              </w:rPr>
              <w:t>Ukoliko student nije zadovoljan postignutom prosječnom ocjenom piše još jedan pismeni  ispit iz cijelog gradiva (oba semestra).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  <w:p w14:paraId="2933084E" w14:textId="732F5AFD" w:rsidR="001727D7" w:rsidRDefault="00720568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Kriterij ocjenjivanja parcijalnih ispita</w:t>
            </w:r>
            <w:r w:rsidR="003F6C23">
              <w:rPr>
                <w:rFonts w:ascii="Arial Narrow" w:hAnsi="Arial Narrow"/>
                <w:color w:val="000000"/>
              </w:rPr>
              <w:t xml:space="preserve"> ili završnog ispita</w:t>
            </w:r>
            <w:r>
              <w:rPr>
                <w:rFonts w:ascii="Arial Narrow" w:hAnsi="Arial Narrow"/>
                <w:color w:val="000000"/>
              </w:rPr>
              <w:t>:</w:t>
            </w:r>
          </w:p>
          <w:p w14:paraId="490D823B" w14:textId="4070883B" w:rsidR="00720568" w:rsidRDefault="00720568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do 60% točnih odgovora – nedovoljan (1)</w:t>
            </w:r>
          </w:p>
          <w:p w14:paraId="382712D4" w14:textId="2B7ABCFF" w:rsidR="00720568" w:rsidRDefault="00720568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60 – 70%</w:t>
            </w:r>
            <w:r>
              <w:t xml:space="preserve"> </w:t>
            </w:r>
            <w:r w:rsidRPr="00720568">
              <w:rPr>
                <w:rFonts w:ascii="Arial Narrow" w:hAnsi="Arial Narrow"/>
                <w:color w:val="000000"/>
              </w:rPr>
              <w:t>točnih odgovora – dovoljan (</w:t>
            </w:r>
            <w:r>
              <w:rPr>
                <w:rFonts w:ascii="Arial Narrow" w:hAnsi="Arial Narrow"/>
                <w:color w:val="000000"/>
              </w:rPr>
              <w:t>2</w:t>
            </w:r>
            <w:r w:rsidRPr="00720568">
              <w:rPr>
                <w:rFonts w:ascii="Arial Narrow" w:hAnsi="Arial Narrow"/>
                <w:color w:val="000000"/>
              </w:rPr>
              <w:t>)</w:t>
            </w:r>
          </w:p>
          <w:p w14:paraId="1EB156C9" w14:textId="08E11915" w:rsidR="00720568" w:rsidRDefault="00720568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70 – 80% </w:t>
            </w:r>
            <w:r w:rsidRPr="00720568">
              <w:rPr>
                <w:rFonts w:ascii="Arial Narrow" w:hAnsi="Arial Narrow"/>
                <w:color w:val="000000"/>
              </w:rPr>
              <w:t xml:space="preserve">točnih odgovora – </w:t>
            </w:r>
            <w:r>
              <w:rPr>
                <w:rFonts w:ascii="Arial Narrow" w:hAnsi="Arial Narrow"/>
                <w:color w:val="000000"/>
              </w:rPr>
              <w:t>dobar (3)</w:t>
            </w:r>
          </w:p>
          <w:p w14:paraId="3E8BFD04" w14:textId="2289FE41" w:rsidR="00720568" w:rsidRDefault="00720568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80 – 90% </w:t>
            </w:r>
            <w:r w:rsidRPr="00720568">
              <w:rPr>
                <w:rFonts w:ascii="Arial Narrow" w:hAnsi="Arial Narrow"/>
                <w:color w:val="000000"/>
              </w:rPr>
              <w:t xml:space="preserve">točnih odgovora – </w:t>
            </w:r>
            <w:r>
              <w:rPr>
                <w:rFonts w:ascii="Arial Narrow" w:hAnsi="Arial Narrow"/>
                <w:color w:val="000000"/>
              </w:rPr>
              <w:t xml:space="preserve">vrlo </w:t>
            </w:r>
            <w:r w:rsidRPr="00720568">
              <w:rPr>
                <w:rFonts w:ascii="Arial Narrow" w:hAnsi="Arial Narrow"/>
                <w:color w:val="000000"/>
              </w:rPr>
              <w:t>dobar (</w:t>
            </w:r>
            <w:r>
              <w:rPr>
                <w:rFonts w:ascii="Arial Narrow" w:hAnsi="Arial Narrow"/>
                <w:color w:val="000000"/>
              </w:rPr>
              <w:t>4</w:t>
            </w:r>
            <w:r w:rsidRPr="00720568">
              <w:rPr>
                <w:rFonts w:ascii="Arial Narrow" w:hAnsi="Arial Narrow"/>
                <w:color w:val="000000"/>
              </w:rPr>
              <w:t>)</w:t>
            </w:r>
          </w:p>
          <w:p w14:paraId="22EBD91C" w14:textId="7AC2821C" w:rsidR="00720568" w:rsidRDefault="00720568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više od 90% </w:t>
            </w:r>
            <w:r w:rsidRPr="00720568">
              <w:rPr>
                <w:rFonts w:ascii="Arial Narrow" w:hAnsi="Arial Narrow"/>
                <w:color w:val="000000"/>
              </w:rPr>
              <w:t xml:space="preserve">točnih odgovora – </w:t>
            </w:r>
            <w:r>
              <w:rPr>
                <w:rFonts w:ascii="Arial Narrow" w:hAnsi="Arial Narrow"/>
                <w:color w:val="000000"/>
              </w:rPr>
              <w:t xml:space="preserve">izvrstan </w:t>
            </w:r>
            <w:r w:rsidRPr="00720568"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color w:val="000000"/>
              </w:rPr>
              <w:t>5</w:t>
            </w:r>
            <w:r w:rsidRPr="00720568">
              <w:rPr>
                <w:rFonts w:ascii="Arial Narrow" w:hAnsi="Arial Narrow"/>
                <w:color w:val="000000"/>
              </w:rPr>
              <w:t>)</w:t>
            </w:r>
          </w:p>
          <w:p w14:paraId="13066316" w14:textId="7872799E" w:rsidR="003F6C23" w:rsidRDefault="003F6C23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Svaki parcijalni ispit provjerava svih 5 nabrojanih ishoda učenja.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4C84431" w14:textId="6B0A6E63" w:rsidR="00C371ED" w:rsidRPr="00C371ED" w:rsidRDefault="00CF53CE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Bilješke s predavanja</w:t>
            </w:r>
            <w:r w:rsidR="00AC159F">
              <w:rPr>
                <w:rFonts w:ascii="Arial Narrow" w:hAnsi="Arial Narrow" w:cs="Arial"/>
              </w:rPr>
              <w:t xml:space="preserve">. 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864D04D" w14:textId="77777777" w:rsidR="007F7143" w:rsidRDefault="007F7143" w:rsidP="00287D63">
            <w:pPr>
              <w:spacing w:before="60" w:after="60"/>
              <w:ind w:left="318"/>
              <w:contextualSpacing/>
              <w:rPr>
                <w:rFonts w:ascii="Arial" w:eastAsia="Calibri" w:hAnsi="Arial"/>
                <w:sz w:val="20"/>
                <w:szCs w:val="20"/>
                <w:lang w:bidi="ta-IN"/>
              </w:rPr>
            </w:pPr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Kovačević, M.B.(1991) Suvremeno pekarstvo, </w:t>
            </w:r>
            <w:proofErr w:type="spellStart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>Cvetnik</w:t>
            </w:r>
            <w:proofErr w:type="spellEnd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, Novi sad                      </w:t>
            </w:r>
          </w:p>
          <w:p w14:paraId="769F422A" w14:textId="4454574D" w:rsidR="007F7143" w:rsidRDefault="007F7143" w:rsidP="00287D63">
            <w:pPr>
              <w:spacing w:before="60" w:after="60"/>
              <w:ind w:left="318"/>
              <w:contextualSpacing/>
              <w:rPr>
                <w:rFonts w:ascii="Arial" w:eastAsia="Calibri" w:hAnsi="Arial"/>
                <w:sz w:val="20"/>
                <w:szCs w:val="20"/>
                <w:lang w:bidi="ta-IN"/>
              </w:rPr>
            </w:pPr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Lovrić, T., </w:t>
            </w:r>
            <w:proofErr w:type="spellStart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>Piližota</w:t>
            </w:r>
            <w:proofErr w:type="spellEnd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 </w:t>
            </w:r>
            <w:r w:rsidR="00C474A3">
              <w:rPr>
                <w:rFonts w:ascii="Arial" w:eastAsia="Calibri" w:hAnsi="Arial"/>
                <w:sz w:val="20"/>
                <w:szCs w:val="20"/>
                <w:lang w:bidi="ta-IN"/>
              </w:rPr>
              <w:t>V.</w:t>
            </w:r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 (1994) Konzerviranje i prerada voća i povrća, Nakladni zavod Globus, Zagreb                                                                           </w:t>
            </w:r>
          </w:p>
          <w:p w14:paraId="00BFF291" w14:textId="77777777" w:rsidR="005403D2" w:rsidRDefault="007F7143" w:rsidP="00287D63">
            <w:pPr>
              <w:spacing w:before="60" w:after="60"/>
              <w:ind w:left="318"/>
              <w:contextualSpacing/>
              <w:rPr>
                <w:rFonts w:ascii="Arial" w:eastAsia="Calibri" w:hAnsi="Arial"/>
                <w:sz w:val="20"/>
                <w:szCs w:val="20"/>
                <w:lang w:bidi="ta-IN"/>
              </w:rPr>
            </w:pPr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Goldoni, L. (2004) Tehnologija konditorskih proizvoda – kakao i čokolada, </w:t>
            </w:r>
            <w:proofErr w:type="spellStart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>Kugler</w:t>
            </w:r>
            <w:proofErr w:type="spellEnd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, Zagreb                                                                                      Goldoni, L. (2004) Tehnologija konditorskih proizvoda – bomboni, </w:t>
            </w:r>
            <w:proofErr w:type="spellStart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>Kugler</w:t>
            </w:r>
            <w:proofErr w:type="spellEnd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>,</w:t>
            </w:r>
          </w:p>
          <w:p w14:paraId="3ED481FB" w14:textId="72A5FB4A" w:rsidR="007F7143" w:rsidRDefault="007F7143" w:rsidP="00287D63">
            <w:pPr>
              <w:spacing w:before="60" w:after="60"/>
              <w:ind w:left="318"/>
              <w:contextualSpacing/>
              <w:rPr>
                <w:rFonts w:ascii="Arial" w:eastAsia="Calibri" w:hAnsi="Arial"/>
                <w:sz w:val="20"/>
                <w:szCs w:val="20"/>
                <w:lang w:bidi="ta-IN"/>
              </w:rPr>
            </w:pPr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lastRenderedPageBreak/>
              <w:t>Marić, V. (1987) Tehnologija slada i piva, Interna skripta PBF-a, Zagreb</w:t>
            </w:r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                         </w:t>
            </w:r>
          </w:p>
          <w:p w14:paraId="6FB485E7" w14:textId="77777777" w:rsidR="005403D2" w:rsidRDefault="007F7143" w:rsidP="00287D63">
            <w:pPr>
              <w:spacing w:before="60" w:after="60"/>
              <w:ind w:left="318"/>
              <w:contextualSpacing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proofErr w:type="spellStart"/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t>Radovanović</w:t>
            </w:r>
            <w:proofErr w:type="spellEnd"/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, V. (1986) </w:t>
            </w:r>
            <w:r w:rsidRPr="007F7143">
              <w:rPr>
                <w:rFonts w:ascii="Arial" w:eastAsia="Calibri" w:hAnsi="Arial"/>
                <w:i/>
                <w:iCs/>
                <w:sz w:val="20"/>
                <w:szCs w:val="20"/>
                <w:lang w:eastAsia="en-US"/>
              </w:rPr>
              <w:t xml:space="preserve">Tehnologija vina, </w:t>
            </w:r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IRO Građevinska </w:t>
            </w:r>
            <w:r w:rsidRPr="007F7143">
              <w:rPr>
                <w:rFonts w:ascii="Arial" w:eastAsia="Calibri" w:hAnsi="Arial"/>
                <w:i/>
                <w:iCs/>
                <w:sz w:val="20"/>
                <w:szCs w:val="20"/>
                <w:lang w:eastAsia="en-US"/>
              </w:rPr>
              <w:t>knjiga,</w:t>
            </w:r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 Beograd </w:t>
            </w:r>
          </w:p>
          <w:p w14:paraId="732004F5" w14:textId="5EC96856" w:rsidR="007F7143" w:rsidRDefault="007F7143" w:rsidP="00287D63">
            <w:pPr>
              <w:spacing w:before="60" w:after="60"/>
              <w:ind w:left="318"/>
              <w:contextualSpacing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proofErr w:type="spellStart"/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t>Tratnik</w:t>
            </w:r>
            <w:proofErr w:type="spellEnd"/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t>Lj</w:t>
            </w:r>
            <w:proofErr w:type="spellEnd"/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., </w:t>
            </w:r>
            <w:proofErr w:type="spellStart"/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t>Božanić</w:t>
            </w:r>
            <w:proofErr w:type="spellEnd"/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, R. (2012) Mlijeko i mliječni proizvodi, HMU, Zagreb </w:t>
            </w:r>
          </w:p>
          <w:p w14:paraId="6042E38D" w14:textId="77777777" w:rsidR="007F7143" w:rsidRDefault="007F7143" w:rsidP="00287D63">
            <w:pPr>
              <w:spacing w:before="60" w:after="60"/>
              <w:ind w:left="318"/>
              <w:contextualSpacing/>
              <w:rPr>
                <w:rFonts w:ascii="Arial" w:eastAsia="Calibri" w:hAnsi="Arial"/>
                <w:sz w:val="20"/>
                <w:szCs w:val="20"/>
                <w:lang w:bidi="ta-IN"/>
              </w:rPr>
            </w:pPr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Kovačević, D. (2001) Kemija i tehnologija mesa i ribe, Sveučilište J.J. Strossmayer, Osijek                                                                                   </w:t>
            </w:r>
            <w:proofErr w:type="spellStart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>Rac</w:t>
            </w:r>
            <w:proofErr w:type="spellEnd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, M. (1964) Ulja i masti, </w:t>
            </w:r>
            <w:r w:rsidRPr="007F7143">
              <w:rPr>
                <w:rFonts w:ascii="Arial" w:eastAsia="Calibri" w:hAnsi="Arial"/>
                <w:sz w:val="20"/>
                <w:szCs w:val="20"/>
                <w:lang w:eastAsia="en-US"/>
              </w:rPr>
              <w:t>Poslovno udruženje proizvođača biljnih ulja i masti, Beograd,</w:t>
            </w:r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                                                                                  Šimundić, B. (2008): Prehrambena roba: prehrana i zdravlje, Fakultet za turistički i hotelski menadžment, Opatija                                           </w:t>
            </w:r>
          </w:p>
          <w:p w14:paraId="57682317" w14:textId="2580D219" w:rsidR="007F7143" w:rsidRDefault="007F7143" w:rsidP="00287D63">
            <w:pPr>
              <w:spacing w:before="60" w:after="60"/>
              <w:ind w:left="318"/>
              <w:contextualSpacing/>
              <w:rPr>
                <w:rFonts w:ascii="Arial" w:eastAsia="Calibri" w:hAnsi="Arial"/>
                <w:sz w:val="20"/>
                <w:szCs w:val="20"/>
                <w:lang w:bidi="ta-IN"/>
              </w:rPr>
            </w:pPr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Šimundić, B., </w:t>
            </w:r>
            <w:proofErr w:type="spellStart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>Jakovlić</w:t>
            </w:r>
            <w:proofErr w:type="spellEnd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, V., </w:t>
            </w:r>
            <w:proofErr w:type="spellStart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>Tadejević</w:t>
            </w:r>
            <w:proofErr w:type="spellEnd"/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 xml:space="preserve">, V. (1994):Poznavanje robe : živežne namirnice s osnovama tehnologije i prehrane,  Tiskara Rijeka, Rijeka </w:t>
            </w:r>
          </w:p>
          <w:p w14:paraId="08494737" w14:textId="012083AD" w:rsidR="00C371ED" w:rsidRPr="00C371ED" w:rsidRDefault="007F7143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7F7143">
              <w:rPr>
                <w:rFonts w:ascii="Arial" w:eastAsia="Calibri" w:hAnsi="Arial"/>
                <w:sz w:val="20"/>
                <w:szCs w:val="20"/>
                <w:lang w:bidi="ta-IN"/>
              </w:rPr>
              <w:t>Matasović, D. (1997): Poznavanje prehrambene robe, Školska knjiga, Zagreb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CB87" w14:textId="53FDC5D5" w:rsidR="001F2C85" w:rsidRDefault="001F2C85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Konzultacije su obavljaju prema dogovoru, općenito jednom tjedno u trajanju </w:t>
            </w:r>
            <w:r w:rsidR="00D0789D">
              <w:rPr>
                <w:rFonts w:ascii="Arial Narrow" w:hAnsi="Arial Narrow" w:cs="Arial"/>
              </w:rPr>
              <w:t>do</w:t>
            </w:r>
            <w:r>
              <w:rPr>
                <w:rFonts w:ascii="Arial Narrow" w:hAnsi="Arial Narrow" w:cs="Arial"/>
              </w:rPr>
              <w:t xml:space="preserve"> 2 sata, u vrijeme </w:t>
            </w:r>
            <w:r w:rsidR="00D0789D">
              <w:rPr>
                <w:rFonts w:ascii="Arial Narrow" w:hAnsi="Arial Narrow" w:cs="Arial"/>
              </w:rPr>
              <w:t xml:space="preserve">dogovoreno </w:t>
            </w:r>
            <w:r>
              <w:rPr>
                <w:rFonts w:ascii="Arial Narrow" w:hAnsi="Arial Narrow" w:cs="Arial"/>
              </w:rPr>
              <w:t xml:space="preserve">putem maila. </w:t>
            </w:r>
          </w:p>
          <w:p w14:paraId="5488EFAD" w14:textId="6E67157B" w:rsidR="00197D6B" w:rsidRPr="006A24FB" w:rsidRDefault="001F2C85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Mogu biti na klasičan način ili u </w:t>
            </w:r>
            <w:r w:rsidR="00D0789D">
              <w:rPr>
                <w:rFonts w:ascii="Arial Narrow" w:hAnsi="Arial Narrow" w:cs="Arial"/>
              </w:rPr>
              <w:t>„</w:t>
            </w:r>
            <w:r>
              <w:rPr>
                <w:rFonts w:ascii="Arial Narrow" w:hAnsi="Arial Narrow" w:cs="Arial"/>
              </w:rPr>
              <w:t>on line</w:t>
            </w:r>
            <w:r w:rsidR="00D0789D">
              <w:rPr>
                <w:rFonts w:ascii="Arial Narrow" w:hAnsi="Arial Narrow" w:cs="Arial"/>
              </w:rPr>
              <w:t>“</w:t>
            </w:r>
            <w:r>
              <w:rPr>
                <w:rFonts w:ascii="Arial Narrow" w:hAnsi="Arial Narrow" w:cs="Arial"/>
              </w:rPr>
              <w:t xml:space="preserve"> okruženju.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1688" w14:textId="26EFC492" w:rsidR="009F4EAB" w:rsidRDefault="007F038C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hyperlink r:id="rId7" w:history="1">
              <w:r w:rsidR="001F2C85" w:rsidRPr="00283616">
                <w:rPr>
                  <w:rStyle w:val="Hiperveza"/>
                  <w:rFonts w:ascii="Arial Narrow" w:hAnsi="Arial Narrow" w:cs="Arial"/>
                </w:rPr>
                <w:t>nvahcic@pbf.hr</w:t>
              </w:r>
            </w:hyperlink>
          </w:p>
          <w:p w14:paraId="68CF27C6" w14:textId="77777777" w:rsidR="001F2C85" w:rsidRDefault="001F2C85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01/4605277</w:t>
            </w:r>
          </w:p>
          <w:p w14:paraId="79BA244E" w14:textId="096B7D6E" w:rsidR="001F2C85" w:rsidRPr="008837BA" w:rsidRDefault="001F2C85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Prehrambeno-biotehnološki fakultet, </w:t>
            </w:r>
            <w:proofErr w:type="spellStart"/>
            <w:r>
              <w:rPr>
                <w:rFonts w:ascii="Arial Narrow" w:hAnsi="Arial Narrow" w:cs="Arial"/>
              </w:rPr>
              <w:t>Pierottijeva</w:t>
            </w:r>
            <w:proofErr w:type="spellEnd"/>
            <w:r>
              <w:rPr>
                <w:rFonts w:ascii="Arial Narrow" w:hAnsi="Arial Narrow" w:cs="Arial"/>
              </w:rPr>
              <w:t xml:space="preserve"> 6, Zagreb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FEEC" w14:textId="77777777" w:rsidR="00BD0C5B" w:rsidRDefault="00BD0C5B" w:rsidP="002A7C1B">
      <w:r>
        <w:separator/>
      </w:r>
    </w:p>
  </w:endnote>
  <w:endnote w:type="continuationSeparator" w:id="0">
    <w:p w14:paraId="6CAEC068" w14:textId="77777777" w:rsidR="00BD0C5B" w:rsidRDefault="00BD0C5B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5750" w14:textId="77777777" w:rsidR="00BD0C5B" w:rsidRDefault="00BD0C5B" w:rsidP="002A7C1B">
      <w:r>
        <w:separator/>
      </w:r>
    </w:p>
  </w:footnote>
  <w:footnote w:type="continuationSeparator" w:id="0">
    <w:p w14:paraId="530D45A4" w14:textId="77777777" w:rsidR="00BD0C5B" w:rsidRDefault="00BD0C5B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103E80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5"/>
  </w:num>
  <w:num w:numId="8">
    <w:abstractNumId w:val="28"/>
  </w:num>
  <w:num w:numId="9">
    <w:abstractNumId w:val="27"/>
  </w:num>
  <w:num w:numId="10">
    <w:abstractNumId w:val="20"/>
  </w:num>
  <w:num w:numId="11">
    <w:abstractNumId w:val="2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7"/>
  </w:num>
  <w:num w:numId="17">
    <w:abstractNumId w:val="24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29"/>
  </w:num>
  <w:num w:numId="23">
    <w:abstractNumId w:val="26"/>
  </w:num>
  <w:num w:numId="24">
    <w:abstractNumId w:val="30"/>
  </w:num>
  <w:num w:numId="25">
    <w:abstractNumId w:val="13"/>
  </w:num>
  <w:num w:numId="26">
    <w:abstractNumId w:val="12"/>
  </w:num>
  <w:num w:numId="27">
    <w:abstractNumId w:val="23"/>
  </w:num>
  <w:num w:numId="28">
    <w:abstractNumId w:val="10"/>
  </w:num>
  <w:num w:numId="29">
    <w:abstractNumId w:val="3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0E07C3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2C85"/>
    <w:rsid w:val="001F3455"/>
    <w:rsid w:val="001F4249"/>
    <w:rsid w:val="001F581A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4588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3F6C23"/>
    <w:rsid w:val="00407F5F"/>
    <w:rsid w:val="0041210A"/>
    <w:rsid w:val="00415035"/>
    <w:rsid w:val="00417E64"/>
    <w:rsid w:val="00446269"/>
    <w:rsid w:val="00451DF3"/>
    <w:rsid w:val="004535AD"/>
    <w:rsid w:val="00454E69"/>
    <w:rsid w:val="004562BC"/>
    <w:rsid w:val="0045790C"/>
    <w:rsid w:val="00475297"/>
    <w:rsid w:val="004924DC"/>
    <w:rsid w:val="00492FE1"/>
    <w:rsid w:val="00497B39"/>
    <w:rsid w:val="004B1228"/>
    <w:rsid w:val="004C4247"/>
    <w:rsid w:val="004C61A0"/>
    <w:rsid w:val="004E0B96"/>
    <w:rsid w:val="004E7732"/>
    <w:rsid w:val="005025AF"/>
    <w:rsid w:val="0051183E"/>
    <w:rsid w:val="00513F9E"/>
    <w:rsid w:val="00514A70"/>
    <w:rsid w:val="00516904"/>
    <w:rsid w:val="00525840"/>
    <w:rsid w:val="005403D2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1112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568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395"/>
    <w:rsid w:val="007A2B43"/>
    <w:rsid w:val="007B65F8"/>
    <w:rsid w:val="007C268B"/>
    <w:rsid w:val="007E2477"/>
    <w:rsid w:val="007E6A74"/>
    <w:rsid w:val="007E7288"/>
    <w:rsid w:val="007F038C"/>
    <w:rsid w:val="007F7143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C159F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93A05"/>
    <w:rsid w:val="00BA0275"/>
    <w:rsid w:val="00BA5F0A"/>
    <w:rsid w:val="00BB3EE8"/>
    <w:rsid w:val="00BC121F"/>
    <w:rsid w:val="00BC1A13"/>
    <w:rsid w:val="00BD0C5B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230E"/>
    <w:rsid w:val="00C33719"/>
    <w:rsid w:val="00C341EE"/>
    <w:rsid w:val="00C34C44"/>
    <w:rsid w:val="00C371ED"/>
    <w:rsid w:val="00C40025"/>
    <w:rsid w:val="00C41D5C"/>
    <w:rsid w:val="00C43327"/>
    <w:rsid w:val="00C474A3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4E4D"/>
    <w:rsid w:val="00CF53CE"/>
    <w:rsid w:val="00CF7197"/>
    <w:rsid w:val="00D000C5"/>
    <w:rsid w:val="00D0376E"/>
    <w:rsid w:val="00D0789D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D0116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ahcic@pbf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AC7C8-710C-4F26-B4E9-0CE83FA3050A}"/>
</file>

<file path=customXml/itemProps2.xml><?xml version="1.0" encoding="utf-8"?>
<ds:datastoreItem xmlns:ds="http://schemas.openxmlformats.org/officeDocument/2006/customXml" ds:itemID="{F115D850-561B-4BAA-A2DC-BCAE2E5707A9}"/>
</file>

<file path=customXml/itemProps3.xml><?xml version="1.0" encoding="utf-8"?>
<ds:datastoreItem xmlns:ds="http://schemas.openxmlformats.org/officeDocument/2006/customXml" ds:itemID="{DBCF1C4A-D52D-4A17-A803-772E7EA0F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Jasna Bošnir</cp:lastModifiedBy>
  <cp:revision>23</cp:revision>
  <dcterms:created xsi:type="dcterms:W3CDTF">2023-09-19T10:35:00Z</dcterms:created>
  <dcterms:modified xsi:type="dcterms:W3CDTF">2023-11-22T13:35:00Z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