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90B" w:rsidRDefault="00A67D8A">
      <w:bookmarkStart w:id="0" w:name="_GoBack"/>
      <w:bookmarkEnd w:id="0"/>
    </w:p>
    <w:tbl>
      <w:tblPr>
        <w:tblStyle w:val="TableGrid"/>
        <w:tblW w:w="0" w:type="auto"/>
        <w:tblLook w:val="04A0" w:firstRow="1" w:lastRow="0" w:firstColumn="1" w:lastColumn="0" w:noHBand="0" w:noVBand="1"/>
      </w:tblPr>
      <w:tblGrid>
        <w:gridCol w:w="2322"/>
        <w:gridCol w:w="3483"/>
        <w:gridCol w:w="682"/>
        <w:gridCol w:w="700"/>
        <w:gridCol w:w="359"/>
        <w:gridCol w:w="341"/>
        <w:gridCol w:w="700"/>
        <w:gridCol w:w="701"/>
      </w:tblGrid>
      <w:tr w:rsidR="005C6D68" w:rsidTr="005C6D68">
        <w:tc>
          <w:tcPr>
            <w:tcW w:w="2322" w:type="dxa"/>
            <w:vMerge w:val="restart"/>
            <w:vAlign w:val="center"/>
          </w:tcPr>
          <w:p w:rsidR="005C6D68" w:rsidRPr="009E2349" w:rsidRDefault="005C6D68" w:rsidP="005C6D68">
            <w:pPr>
              <w:spacing w:line="360" w:lineRule="auto"/>
              <w:rPr>
                <w:b/>
              </w:rPr>
            </w:pPr>
            <w:r w:rsidRPr="009E2349">
              <w:rPr>
                <w:b/>
              </w:rPr>
              <w:t xml:space="preserve">Naziv kolegija </w:t>
            </w:r>
          </w:p>
        </w:tc>
        <w:tc>
          <w:tcPr>
            <w:tcW w:w="4165" w:type="dxa"/>
            <w:gridSpan w:val="2"/>
            <w:vMerge w:val="restart"/>
          </w:tcPr>
          <w:p w:rsidR="005C6D68" w:rsidRPr="003B1CA7" w:rsidRDefault="003B1CA7" w:rsidP="005C6D68">
            <w:pPr>
              <w:spacing w:line="360" w:lineRule="auto"/>
              <w:rPr>
                <w:b/>
              </w:rPr>
            </w:pPr>
            <w:r w:rsidRPr="003B1CA7">
              <w:rPr>
                <w:b/>
              </w:rPr>
              <w:t>METODE UZGOJA STANICA IN VITRO</w:t>
            </w:r>
          </w:p>
          <w:p w:rsidR="00D027BA" w:rsidRDefault="00D027BA" w:rsidP="005C6D68">
            <w:pPr>
              <w:spacing w:line="360" w:lineRule="auto"/>
            </w:pPr>
          </w:p>
        </w:tc>
        <w:tc>
          <w:tcPr>
            <w:tcW w:w="700" w:type="dxa"/>
          </w:tcPr>
          <w:p w:rsidR="005C6D68" w:rsidRPr="009E2349" w:rsidRDefault="005C6D68" w:rsidP="005C6D68">
            <w:pPr>
              <w:spacing w:line="360" w:lineRule="auto"/>
              <w:jc w:val="center"/>
              <w:rPr>
                <w:b/>
              </w:rPr>
            </w:pPr>
            <w:r w:rsidRPr="009E2349">
              <w:rPr>
                <w:b/>
              </w:rPr>
              <w:t>P</w:t>
            </w:r>
          </w:p>
        </w:tc>
        <w:tc>
          <w:tcPr>
            <w:tcW w:w="700" w:type="dxa"/>
            <w:gridSpan w:val="2"/>
          </w:tcPr>
          <w:p w:rsidR="005C6D68" w:rsidRPr="009E2349" w:rsidRDefault="005C6D68" w:rsidP="005C6D68">
            <w:pPr>
              <w:spacing w:line="360" w:lineRule="auto"/>
              <w:jc w:val="center"/>
              <w:rPr>
                <w:b/>
              </w:rPr>
            </w:pPr>
            <w:r w:rsidRPr="009E2349">
              <w:rPr>
                <w:b/>
              </w:rPr>
              <w:t>S</w:t>
            </w:r>
          </w:p>
        </w:tc>
        <w:tc>
          <w:tcPr>
            <w:tcW w:w="700" w:type="dxa"/>
          </w:tcPr>
          <w:p w:rsidR="005C6D68" w:rsidRPr="009E2349" w:rsidRDefault="005C6D68" w:rsidP="005C6D68">
            <w:pPr>
              <w:spacing w:line="360" w:lineRule="auto"/>
              <w:jc w:val="center"/>
              <w:rPr>
                <w:b/>
              </w:rPr>
            </w:pPr>
            <w:r w:rsidRPr="009E2349">
              <w:rPr>
                <w:b/>
              </w:rPr>
              <w:t>V</w:t>
            </w:r>
          </w:p>
        </w:tc>
        <w:tc>
          <w:tcPr>
            <w:tcW w:w="701" w:type="dxa"/>
          </w:tcPr>
          <w:p w:rsidR="005C6D68" w:rsidRPr="009E2349" w:rsidRDefault="005C6D68" w:rsidP="005C6D68">
            <w:pPr>
              <w:spacing w:line="360" w:lineRule="auto"/>
              <w:jc w:val="center"/>
              <w:rPr>
                <w:b/>
              </w:rPr>
            </w:pPr>
            <w:r w:rsidRPr="009E2349">
              <w:rPr>
                <w:b/>
              </w:rPr>
              <w:t>ECTS</w:t>
            </w:r>
          </w:p>
        </w:tc>
      </w:tr>
      <w:tr w:rsidR="005C6D68" w:rsidTr="00BE71EC">
        <w:tc>
          <w:tcPr>
            <w:tcW w:w="2322" w:type="dxa"/>
            <w:vMerge/>
          </w:tcPr>
          <w:p w:rsidR="005C6D68" w:rsidRPr="009E2349" w:rsidRDefault="005C6D68" w:rsidP="005C6D68">
            <w:pPr>
              <w:spacing w:line="360" w:lineRule="auto"/>
              <w:rPr>
                <w:b/>
              </w:rPr>
            </w:pPr>
          </w:p>
        </w:tc>
        <w:tc>
          <w:tcPr>
            <w:tcW w:w="4165" w:type="dxa"/>
            <w:gridSpan w:val="2"/>
            <w:vMerge/>
          </w:tcPr>
          <w:p w:rsidR="005C6D68" w:rsidRDefault="005C6D68" w:rsidP="005C6D68">
            <w:pPr>
              <w:spacing w:line="360" w:lineRule="auto"/>
            </w:pPr>
          </w:p>
        </w:tc>
        <w:tc>
          <w:tcPr>
            <w:tcW w:w="700" w:type="dxa"/>
          </w:tcPr>
          <w:p w:rsidR="005C6D68" w:rsidRDefault="00D027BA" w:rsidP="005C6D68">
            <w:pPr>
              <w:spacing w:line="360" w:lineRule="auto"/>
              <w:jc w:val="center"/>
            </w:pPr>
            <w:r>
              <w:t>15</w:t>
            </w:r>
          </w:p>
        </w:tc>
        <w:tc>
          <w:tcPr>
            <w:tcW w:w="700" w:type="dxa"/>
            <w:gridSpan w:val="2"/>
          </w:tcPr>
          <w:p w:rsidR="005C6D68" w:rsidRDefault="00D027BA" w:rsidP="005C6D68">
            <w:pPr>
              <w:spacing w:line="360" w:lineRule="auto"/>
              <w:jc w:val="center"/>
            </w:pPr>
            <w:r>
              <w:t>-</w:t>
            </w:r>
          </w:p>
        </w:tc>
        <w:tc>
          <w:tcPr>
            <w:tcW w:w="700" w:type="dxa"/>
          </w:tcPr>
          <w:p w:rsidR="005C6D68" w:rsidRDefault="00D027BA" w:rsidP="005C6D68">
            <w:pPr>
              <w:spacing w:line="360" w:lineRule="auto"/>
              <w:jc w:val="center"/>
            </w:pPr>
            <w:r>
              <w:t>15</w:t>
            </w:r>
          </w:p>
        </w:tc>
        <w:tc>
          <w:tcPr>
            <w:tcW w:w="701" w:type="dxa"/>
          </w:tcPr>
          <w:p w:rsidR="005C6D68" w:rsidRDefault="00D027BA" w:rsidP="005C6D68">
            <w:pPr>
              <w:spacing w:line="360" w:lineRule="auto"/>
              <w:jc w:val="center"/>
            </w:pPr>
            <w:r>
              <w:t>2</w:t>
            </w:r>
          </w:p>
        </w:tc>
      </w:tr>
      <w:tr w:rsidR="00D74EE2" w:rsidTr="00165F9E">
        <w:tc>
          <w:tcPr>
            <w:tcW w:w="2322" w:type="dxa"/>
          </w:tcPr>
          <w:p w:rsidR="00D74EE2" w:rsidRPr="009E2349" w:rsidRDefault="00D74EE2" w:rsidP="005C6D68">
            <w:pPr>
              <w:spacing w:line="360" w:lineRule="auto"/>
              <w:rPr>
                <w:b/>
              </w:rPr>
            </w:pPr>
            <w:r w:rsidRPr="009E2349">
              <w:rPr>
                <w:b/>
              </w:rPr>
              <w:t xml:space="preserve">Studij </w:t>
            </w:r>
          </w:p>
        </w:tc>
        <w:tc>
          <w:tcPr>
            <w:tcW w:w="3483" w:type="dxa"/>
          </w:tcPr>
          <w:p w:rsidR="00D74EE2" w:rsidRDefault="003B1CA7" w:rsidP="003B1CA7">
            <w:pPr>
              <w:spacing w:line="360" w:lineRule="auto"/>
            </w:pPr>
            <w:r>
              <w:t>Studij medicinsko laboratorijske dijagnostike</w:t>
            </w:r>
          </w:p>
        </w:tc>
        <w:tc>
          <w:tcPr>
            <w:tcW w:w="1741" w:type="dxa"/>
            <w:gridSpan w:val="3"/>
          </w:tcPr>
          <w:p w:rsidR="00D74EE2" w:rsidRPr="009E2349" w:rsidRDefault="00D74EE2" w:rsidP="005C6D68">
            <w:pPr>
              <w:spacing w:line="360" w:lineRule="auto"/>
              <w:rPr>
                <w:b/>
              </w:rPr>
            </w:pPr>
            <w:r w:rsidRPr="009E2349">
              <w:rPr>
                <w:b/>
              </w:rPr>
              <w:t>Šifra kolegija</w:t>
            </w:r>
          </w:p>
        </w:tc>
        <w:tc>
          <w:tcPr>
            <w:tcW w:w="1742" w:type="dxa"/>
            <w:gridSpan w:val="3"/>
          </w:tcPr>
          <w:p w:rsidR="00D74EE2" w:rsidRDefault="00D74EE2" w:rsidP="005C6D68">
            <w:pPr>
              <w:spacing w:line="360" w:lineRule="auto"/>
            </w:pPr>
          </w:p>
        </w:tc>
      </w:tr>
      <w:tr w:rsidR="005C6D68" w:rsidTr="00015F3A">
        <w:tc>
          <w:tcPr>
            <w:tcW w:w="2322" w:type="dxa"/>
          </w:tcPr>
          <w:p w:rsidR="005C6D68" w:rsidRPr="009E2349" w:rsidRDefault="005C6D68" w:rsidP="005C6D68">
            <w:pPr>
              <w:spacing w:line="360" w:lineRule="auto"/>
              <w:rPr>
                <w:b/>
              </w:rPr>
            </w:pPr>
            <w:r w:rsidRPr="009E2349">
              <w:rPr>
                <w:b/>
              </w:rPr>
              <w:t xml:space="preserve">Nositelj kolegija </w:t>
            </w:r>
          </w:p>
        </w:tc>
        <w:tc>
          <w:tcPr>
            <w:tcW w:w="6966" w:type="dxa"/>
            <w:gridSpan w:val="7"/>
          </w:tcPr>
          <w:p w:rsidR="00926E9C" w:rsidRDefault="003B1CA7" w:rsidP="005C6D68">
            <w:pPr>
              <w:spacing w:line="360" w:lineRule="auto"/>
            </w:pPr>
            <w:r>
              <w:t>dr.sc. Mirna Golemovic, dipl.ing.mol.biol.</w:t>
            </w:r>
          </w:p>
        </w:tc>
      </w:tr>
      <w:tr w:rsidR="005C6D68" w:rsidTr="00A21705">
        <w:tc>
          <w:tcPr>
            <w:tcW w:w="2322" w:type="dxa"/>
          </w:tcPr>
          <w:p w:rsidR="005C6D68" w:rsidRPr="009E2349" w:rsidRDefault="005C6D68" w:rsidP="005C6D68">
            <w:pPr>
              <w:spacing w:line="360" w:lineRule="auto"/>
              <w:rPr>
                <w:b/>
              </w:rPr>
            </w:pPr>
            <w:r w:rsidRPr="009E2349">
              <w:rPr>
                <w:b/>
              </w:rPr>
              <w:t xml:space="preserve">Nastavnici </w:t>
            </w:r>
          </w:p>
        </w:tc>
        <w:tc>
          <w:tcPr>
            <w:tcW w:w="6966" w:type="dxa"/>
            <w:gridSpan w:val="7"/>
          </w:tcPr>
          <w:p w:rsidR="005C6D68" w:rsidRDefault="005C6D68" w:rsidP="0017622E">
            <w:pPr>
              <w:spacing w:line="360" w:lineRule="auto"/>
            </w:pPr>
          </w:p>
        </w:tc>
      </w:tr>
      <w:tr w:rsidR="005C6D68" w:rsidTr="0029488D">
        <w:tc>
          <w:tcPr>
            <w:tcW w:w="2322" w:type="dxa"/>
          </w:tcPr>
          <w:p w:rsidR="005C6D68" w:rsidRPr="009E2349" w:rsidRDefault="005C6D68" w:rsidP="005C6D68">
            <w:pPr>
              <w:spacing w:line="360" w:lineRule="auto"/>
              <w:rPr>
                <w:b/>
              </w:rPr>
            </w:pPr>
            <w:r w:rsidRPr="009E2349">
              <w:rPr>
                <w:b/>
              </w:rPr>
              <w:t xml:space="preserve">Asistenti </w:t>
            </w:r>
          </w:p>
        </w:tc>
        <w:tc>
          <w:tcPr>
            <w:tcW w:w="6966" w:type="dxa"/>
            <w:gridSpan w:val="7"/>
          </w:tcPr>
          <w:p w:rsidR="005C6D68" w:rsidRDefault="003B1CA7" w:rsidP="0000316B">
            <w:pPr>
              <w:spacing w:line="360" w:lineRule="auto"/>
            </w:pPr>
            <w:r>
              <w:t>Marijana Škific, mag.mol.biol.</w:t>
            </w:r>
          </w:p>
        </w:tc>
      </w:tr>
      <w:tr w:rsidR="005C6D68" w:rsidTr="005C6D68">
        <w:tc>
          <w:tcPr>
            <w:tcW w:w="7887" w:type="dxa"/>
            <w:gridSpan w:val="6"/>
          </w:tcPr>
          <w:p w:rsidR="005C6D68" w:rsidRPr="009E2349" w:rsidRDefault="005C6D68" w:rsidP="009263F7">
            <w:pPr>
              <w:jc w:val="center"/>
              <w:rPr>
                <w:b/>
              </w:rPr>
            </w:pPr>
            <w:r w:rsidRPr="009E2349">
              <w:rPr>
                <w:b/>
              </w:rPr>
              <w:t>NASTAVNE JEDINICE</w:t>
            </w:r>
          </w:p>
        </w:tc>
        <w:tc>
          <w:tcPr>
            <w:tcW w:w="1401" w:type="dxa"/>
            <w:gridSpan w:val="2"/>
          </w:tcPr>
          <w:p w:rsidR="005C6D68" w:rsidRPr="009E2349" w:rsidRDefault="005C6D68" w:rsidP="009E2349">
            <w:pPr>
              <w:jc w:val="center"/>
              <w:rPr>
                <w:b/>
              </w:rPr>
            </w:pPr>
            <w:r w:rsidRPr="009E2349">
              <w:rPr>
                <w:b/>
              </w:rPr>
              <w:t>SATI</w:t>
            </w:r>
          </w:p>
        </w:tc>
      </w:tr>
      <w:tr w:rsidR="005C6D68" w:rsidTr="0000316B">
        <w:trPr>
          <w:trHeight w:val="346"/>
        </w:trPr>
        <w:tc>
          <w:tcPr>
            <w:tcW w:w="2322" w:type="dxa"/>
          </w:tcPr>
          <w:p w:rsidR="005C6D68" w:rsidRPr="009E2349" w:rsidRDefault="009E2349" w:rsidP="009263F7">
            <w:pPr>
              <w:rPr>
                <w:b/>
              </w:rPr>
            </w:pPr>
            <w:r w:rsidRPr="009E2349">
              <w:rPr>
                <w:b/>
              </w:rPr>
              <w:t xml:space="preserve">Predavanja </w:t>
            </w:r>
          </w:p>
        </w:tc>
        <w:tc>
          <w:tcPr>
            <w:tcW w:w="5565" w:type="dxa"/>
            <w:gridSpan w:val="5"/>
          </w:tcPr>
          <w:p w:rsidR="009263F7" w:rsidRDefault="009263F7" w:rsidP="0000316B"/>
          <w:p w:rsidR="00A81011" w:rsidRDefault="00A81011" w:rsidP="0000316B">
            <w:r>
              <w:t>Organizacija laboratorija za uzgoja stanica in vitro</w:t>
            </w:r>
          </w:p>
          <w:p w:rsidR="00A81011" w:rsidRDefault="00A81011" w:rsidP="0000316B">
            <w:r>
              <w:t>Rad u sterilnim uvjetima</w:t>
            </w:r>
          </w:p>
          <w:p w:rsidR="00A81011" w:rsidRDefault="00A81011" w:rsidP="0000316B">
            <w:r>
              <w:t>Odgovarajuca oprema</w:t>
            </w:r>
          </w:p>
          <w:p w:rsidR="00A81011" w:rsidRDefault="00A81011" w:rsidP="0000316B">
            <w:r>
              <w:t>Osnove stanicne kulture in vitro</w:t>
            </w:r>
          </w:p>
          <w:p w:rsidR="00A81011" w:rsidRDefault="00A81011" w:rsidP="0000316B">
            <w:r>
              <w:t>Metode pripreme stanicnih suspenzija iz raznih tkivnih izvora</w:t>
            </w:r>
            <w:r w:rsidR="00D027BA">
              <w:t xml:space="preserve"> </w:t>
            </w:r>
            <w:r>
              <w:t>Metode selekcija pojedinih stanicnih populacija</w:t>
            </w:r>
          </w:p>
          <w:p w:rsidR="00A81011" w:rsidRDefault="00A81011" w:rsidP="0000316B">
            <w:r>
              <w:t>Maticne stanice Krvotvorne maticne stanice</w:t>
            </w:r>
          </w:p>
          <w:p w:rsidR="00A81011" w:rsidRDefault="00A81011" w:rsidP="0000316B">
            <w:r>
              <w:t>Funkcijski testovi, stanicna terapija</w:t>
            </w:r>
          </w:p>
          <w:p w:rsidR="00A81011" w:rsidRDefault="00A81011" w:rsidP="0000316B">
            <w:r>
              <w:t xml:space="preserve">Mezenhimske maticne stanice, funkcijski testovi, stanicna terapija </w:t>
            </w:r>
          </w:p>
          <w:p w:rsidR="0000316B" w:rsidRDefault="00A81011" w:rsidP="0000316B">
            <w:r>
              <w:t>Stanicna terapija</w:t>
            </w:r>
          </w:p>
          <w:p w:rsidR="0000316B" w:rsidRDefault="0000316B" w:rsidP="0000316B"/>
        </w:tc>
        <w:tc>
          <w:tcPr>
            <w:tcW w:w="1401" w:type="dxa"/>
            <w:gridSpan w:val="2"/>
          </w:tcPr>
          <w:p w:rsidR="00AA04AE" w:rsidRDefault="00AA04AE" w:rsidP="005D2132"/>
          <w:p w:rsidR="00A81011" w:rsidRDefault="00A81011" w:rsidP="00D027BA">
            <w:pPr>
              <w:jc w:val="center"/>
            </w:pPr>
            <w:r>
              <w:t>3</w:t>
            </w:r>
          </w:p>
          <w:p w:rsidR="00D027BA" w:rsidRDefault="00D027BA" w:rsidP="00D027BA">
            <w:pPr>
              <w:jc w:val="center"/>
            </w:pPr>
          </w:p>
          <w:p w:rsidR="00D027BA" w:rsidRDefault="00D027BA" w:rsidP="00D027BA">
            <w:pPr>
              <w:jc w:val="center"/>
            </w:pPr>
          </w:p>
          <w:p w:rsidR="00A81011" w:rsidRDefault="00A81011" w:rsidP="00D027BA">
            <w:pPr>
              <w:jc w:val="center"/>
            </w:pPr>
            <w:r>
              <w:t>2</w:t>
            </w:r>
          </w:p>
          <w:p w:rsidR="00D027BA" w:rsidRDefault="00A81011" w:rsidP="00D027BA">
            <w:pPr>
              <w:jc w:val="center"/>
            </w:pPr>
            <w:r>
              <w:t>2</w:t>
            </w:r>
          </w:p>
          <w:p w:rsidR="00D027BA" w:rsidRDefault="00D027BA" w:rsidP="00D027BA">
            <w:pPr>
              <w:jc w:val="center"/>
            </w:pPr>
          </w:p>
          <w:p w:rsidR="00D027BA" w:rsidRDefault="00D027BA" w:rsidP="00D027BA">
            <w:pPr>
              <w:jc w:val="center"/>
            </w:pPr>
            <w:r>
              <w:t>2</w:t>
            </w:r>
          </w:p>
          <w:p w:rsidR="00D027BA" w:rsidRDefault="00D027BA" w:rsidP="00D027BA">
            <w:pPr>
              <w:jc w:val="center"/>
            </w:pPr>
          </w:p>
          <w:p w:rsidR="00D027BA" w:rsidRDefault="00A81011" w:rsidP="00D027BA">
            <w:pPr>
              <w:jc w:val="center"/>
            </w:pPr>
            <w:r>
              <w:t>2</w:t>
            </w:r>
          </w:p>
          <w:p w:rsidR="00D027BA" w:rsidRDefault="00A81011" w:rsidP="00D027BA">
            <w:pPr>
              <w:jc w:val="center"/>
            </w:pPr>
            <w:r>
              <w:t>2</w:t>
            </w:r>
          </w:p>
          <w:p w:rsidR="00A81011" w:rsidRDefault="00A81011" w:rsidP="00D027BA">
            <w:pPr>
              <w:jc w:val="center"/>
            </w:pPr>
            <w:r>
              <w:t>2</w:t>
            </w:r>
          </w:p>
        </w:tc>
      </w:tr>
      <w:tr w:rsidR="005C6D68" w:rsidTr="005C6D68">
        <w:tc>
          <w:tcPr>
            <w:tcW w:w="2322" w:type="dxa"/>
          </w:tcPr>
          <w:p w:rsidR="005C6D68" w:rsidRPr="009E2349" w:rsidRDefault="009E2349" w:rsidP="009263F7">
            <w:pPr>
              <w:rPr>
                <w:b/>
              </w:rPr>
            </w:pPr>
            <w:r w:rsidRPr="009E2349">
              <w:rPr>
                <w:b/>
              </w:rPr>
              <w:t>Seminari</w:t>
            </w:r>
          </w:p>
        </w:tc>
        <w:tc>
          <w:tcPr>
            <w:tcW w:w="5565" w:type="dxa"/>
            <w:gridSpan w:val="5"/>
          </w:tcPr>
          <w:p w:rsidR="0000316B" w:rsidRDefault="0000316B" w:rsidP="009263F7"/>
        </w:tc>
        <w:tc>
          <w:tcPr>
            <w:tcW w:w="1401" w:type="dxa"/>
            <w:gridSpan w:val="2"/>
          </w:tcPr>
          <w:p w:rsidR="003F5CE4" w:rsidRDefault="003F5CE4" w:rsidP="009263F7"/>
          <w:p w:rsidR="00A64DE2" w:rsidRDefault="00A64DE2" w:rsidP="009263F7"/>
          <w:p w:rsidR="00A64DE2" w:rsidRDefault="00A64DE2" w:rsidP="009263F7"/>
        </w:tc>
      </w:tr>
      <w:tr w:rsidR="005C6D68" w:rsidTr="005C6D68">
        <w:tc>
          <w:tcPr>
            <w:tcW w:w="2322" w:type="dxa"/>
          </w:tcPr>
          <w:p w:rsidR="005C6D68" w:rsidRPr="009E2349" w:rsidRDefault="009E2349" w:rsidP="009263F7">
            <w:pPr>
              <w:rPr>
                <w:b/>
              </w:rPr>
            </w:pPr>
            <w:r w:rsidRPr="009E2349">
              <w:rPr>
                <w:b/>
              </w:rPr>
              <w:t xml:space="preserve">Vježbe </w:t>
            </w:r>
          </w:p>
        </w:tc>
        <w:tc>
          <w:tcPr>
            <w:tcW w:w="5565" w:type="dxa"/>
            <w:gridSpan w:val="5"/>
          </w:tcPr>
          <w:p w:rsidR="0070593C" w:rsidRDefault="0070593C" w:rsidP="009263F7"/>
          <w:p w:rsidR="00D027BA" w:rsidRDefault="00D027BA" w:rsidP="009263F7">
            <w:r>
              <w:t xml:space="preserve">Priprema stanicnih suspenzija </w:t>
            </w:r>
          </w:p>
          <w:p w:rsidR="00D027BA" w:rsidRDefault="00D027BA" w:rsidP="009263F7">
            <w:r>
              <w:t>Uzgoj krvotvornih maticnih stanica in vitro;kratkotrajna kultura stanica in vitro</w:t>
            </w:r>
          </w:p>
          <w:p w:rsidR="0000316B" w:rsidRDefault="00D027BA" w:rsidP="009263F7">
            <w:r>
              <w:t>Uzgoj mezenhimskih maticnih stanica in vitro</w:t>
            </w:r>
          </w:p>
          <w:p w:rsidR="0000316B" w:rsidRDefault="0000316B" w:rsidP="009263F7"/>
        </w:tc>
        <w:tc>
          <w:tcPr>
            <w:tcW w:w="1401" w:type="dxa"/>
            <w:gridSpan w:val="2"/>
          </w:tcPr>
          <w:p w:rsidR="0070593C" w:rsidRDefault="0070593C" w:rsidP="009263F7"/>
          <w:p w:rsidR="0000316B" w:rsidRDefault="00D027BA" w:rsidP="009263F7">
            <w:r>
              <w:t>5</w:t>
            </w:r>
          </w:p>
          <w:p w:rsidR="0000316B" w:rsidRDefault="00D027BA" w:rsidP="009263F7">
            <w:r>
              <w:t>5</w:t>
            </w:r>
          </w:p>
          <w:p w:rsidR="0000316B" w:rsidRDefault="0000316B" w:rsidP="009263F7"/>
          <w:p w:rsidR="0000316B" w:rsidRDefault="00D027BA" w:rsidP="009263F7">
            <w:r>
              <w:t>5</w:t>
            </w:r>
          </w:p>
          <w:p w:rsidR="0000316B" w:rsidRDefault="0000316B" w:rsidP="009263F7"/>
        </w:tc>
      </w:tr>
      <w:tr w:rsidR="005C6D68" w:rsidTr="0056003B">
        <w:tc>
          <w:tcPr>
            <w:tcW w:w="2322" w:type="dxa"/>
          </w:tcPr>
          <w:p w:rsidR="005C6D68" w:rsidRPr="00922630" w:rsidRDefault="009E2349" w:rsidP="009263F7">
            <w:pPr>
              <w:rPr>
                <w:b/>
              </w:rPr>
            </w:pPr>
            <w:r w:rsidRPr="00922630">
              <w:rPr>
                <w:b/>
              </w:rPr>
              <w:t xml:space="preserve">Obaveze studenta </w:t>
            </w:r>
          </w:p>
        </w:tc>
        <w:tc>
          <w:tcPr>
            <w:tcW w:w="6966" w:type="dxa"/>
            <w:gridSpan w:val="7"/>
          </w:tcPr>
          <w:p w:rsidR="00D027BA" w:rsidRDefault="00D027BA" w:rsidP="009263F7">
            <w:r>
              <w:t>Prisustvovanje nastavi (student moze izostati sa do 20% fonda sati nastave).</w:t>
            </w:r>
          </w:p>
          <w:p w:rsidR="0000316B" w:rsidRDefault="00D027BA" w:rsidP="00D027BA">
            <w:r>
              <w:t xml:space="preserve"> Studenti koji nisu ispunili obavezu prisustvovanja na nastavi moraju položiti kolokvij prije izlaska na ispit</w:t>
            </w:r>
          </w:p>
        </w:tc>
      </w:tr>
      <w:tr w:rsidR="005C6D68" w:rsidTr="00EE7DD3">
        <w:tc>
          <w:tcPr>
            <w:tcW w:w="2322" w:type="dxa"/>
          </w:tcPr>
          <w:p w:rsidR="005C6D68" w:rsidRPr="009E2349" w:rsidRDefault="009E2349" w:rsidP="00E90C53">
            <w:pPr>
              <w:rPr>
                <w:b/>
              </w:rPr>
            </w:pPr>
            <w:r w:rsidRPr="009E2349">
              <w:rPr>
                <w:b/>
              </w:rPr>
              <w:t xml:space="preserve">Literatura za </w:t>
            </w:r>
            <w:r w:rsidR="00E90C53">
              <w:rPr>
                <w:b/>
              </w:rPr>
              <w:t>kolegij</w:t>
            </w:r>
          </w:p>
        </w:tc>
        <w:tc>
          <w:tcPr>
            <w:tcW w:w="6966" w:type="dxa"/>
            <w:gridSpan w:val="7"/>
          </w:tcPr>
          <w:p w:rsidR="00D027BA" w:rsidRDefault="00D027BA" w:rsidP="009263F7">
            <w:r>
              <w:t xml:space="preserve">Batinic D. , Petrovecki M, Golemovic M. Uzgoj krvotvornih stanica in vitro. U: Batinic D. (editor): Metode istraživanja i . Zagreb: Medicinska naklada; 2004:69-76. </w:t>
            </w:r>
          </w:p>
          <w:p w:rsidR="00D027BA" w:rsidRDefault="00D027BA" w:rsidP="009263F7">
            <w:r>
              <w:t>Lourdes M. Caselli-Fernández, Robert Terkola. Clean room environment, personnel, quality assurance and their monitoring. EJHPPractice. 2006;12:29-34.</w:t>
            </w:r>
          </w:p>
          <w:p w:rsidR="00D027BA" w:rsidRDefault="00D027BA" w:rsidP="009263F7">
            <w:r>
              <w:t>HG Drexler, WG Dirks, Y Matsuo and RAF MacLeod. False leukemia– lymphoma cell lines: an update on over 500 cell lines. Leukemia 2003;17:416–42.</w:t>
            </w:r>
          </w:p>
          <w:p w:rsidR="00D027BA" w:rsidRDefault="00D027BA" w:rsidP="009263F7">
            <w:r>
              <w:lastRenderedPageBreak/>
              <w:t>Bieback K, Kern S, Klüter H, Eichler H. Critical parameters for the isolation of mesenchymal stem cells from umbilical cord blood. Stem Cells. 2004;22(4):625-34.</w:t>
            </w:r>
          </w:p>
          <w:p w:rsidR="00D027BA" w:rsidRDefault="00D027BA" w:rsidP="009263F7">
            <w:r>
              <w:t>Ivanović  Z, Duchez P, Dazey B, Hermitte F, Lamrissi-Garcia I, Mazurier F, Praloran V, Reiffers J, Vezon G, Boiron JM.A clinical-scale expansion of mobilized CD 34+ hematopoietic stem and progenitor cells by use of a new serum-free medium. Transfusion. 2006 Jan;46(1):126-31.</w:t>
            </w:r>
          </w:p>
          <w:p w:rsidR="00D027BA" w:rsidRDefault="00D027BA" w:rsidP="009263F7">
            <w:r>
              <w:t>Tung SS, Parmar S, Robinson SN, De Lima M, Shpall EJ. Ex vivo expansion of umbilical cord blood for transplantation. Best Pract Res Clin Haematol. 2010 Jun;23(2):245-57.</w:t>
            </w:r>
          </w:p>
          <w:p w:rsidR="00D027BA" w:rsidRDefault="00D027BA" w:rsidP="009263F7">
            <w:r>
              <w:t>McKenna D, Sheth J. Umbilical cord blood: current status &amp; promise for the future. Indian J Med Res. 2011 Sep;134:261-9.</w:t>
            </w:r>
          </w:p>
          <w:p w:rsidR="00D027BA" w:rsidRDefault="00D027BA" w:rsidP="009263F7">
            <w:r>
              <w:t xml:space="preserve">Dominici M, Le Blanc K, Mueller I, Slaper-Cortenbach I, Marini F, Krause D, Deans R, Keating A, Prockop Dj, Horwitz E. Minimal criteria for defining multipotent mesenchymal stromal cells. The International Society for Cellular Therapy position statement. Cytotherapy. 2006;8(4):315-7. </w:t>
            </w:r>
          </w:p>
          <w:p w:rsidR="0000316B" w:rsidRDefault="00D027BA" w:rsidP="00D027BA">
            <w:r>
              <w:t>Fossett E, Khan WS. Optimising human mesenchymal stem cell numbers for clinical application: a literature review. Stem Cells Int. 2012;2012:465259. Benderitter M, Gourmelon P, Bey E, Chapel A, Clairand I, Prat M, Lataillade JJ. New emerging concepts in the medical management of local radiation injury. Health Phys. 2010 Jun;98(6):851-7.</w:t>
            </w:r>
          </w:p>
        </w:tc>
      </w:tr>
      <w:tr w:rsidR="005C6D68" w:rsidTr="00924545">
        <w:tc>
          <w:tcPr>
            <w:tcW w:w="2322" w:type="dxa"/>
          </w:tcPr>
          <w:p w:rsidR="005C6D68" w:rsidRPr="009E2349" w:rsidRDefault="009E2349" w:rsidP="009263F7">
            <w:pPr>
              <w:rPr>
                <w:b/>
              </w:rPr>
            </w:pPr>
            <w:r w:rsidRPr="009E2349">
              <w:rPr>
                <w:b/>
              </w:rPr>
              <w:lastRenderedPageBreak/>
              <w:t xml:space="preserve">Način održavanja ispita </w:t>
            </w:r>
          </w:p>
        </w:tc>
        <w:tc>
          <w:tcPr>
            <w:tcW w:w="6966" w:type="dxa"/>
            <w:gridSpan w:val="7"/>
          </w:tcPr>
          <w:p w:rsidR="00922630" w:rsidRDefault="00922630" w:rsidP="009263F7"/>
          <w:p w:rsidR="0000316B" w:rsidRDefault="0000316B" w:rsidP="009263F7"/>
        </w:tc>
      </w:tr>
      <w:tr w:rsidR="005C6D68" w:rsidTr="00CE749F">
        <w:tc>
          <w:tcPr>
            <w:tcW w:w="2322" w:type="dxa"/>
          </w:tcPr>
          <w:p w:rsidR="005C6D68" w:rsidRPr="009E2349" w:rsidRDefault="009E2349" w:rsidP="009263F7">
            <w:pPr>
              <w:rPr>
                <w:b/>
              </w:rPr>
            </w:pPr>
            <w:r w:rsidRPr="009E2349">
              <w:rPr>
                <w:b/>
              </w:rPr>
              <w:t xml:space="preserve">Dodatne informacije o kolegiju </w:t>
            </w:r>
          </w:p>
        </w:tc>
        <w:tc>
          <w:tcPr>
            <w:tcW w:w="6966" w:type="dxa"/>
            <w:gridSpan w:val="7"/>
          </w:tcPr>
          <w:p w:rsidR="005C6D68" w:rsidRDefault="005C6D68" w:rsidP="009263F7">
            <w:pPr>
              <w:rPr>
                <w:b/>
              </w:rPr>
            </w:pPr>
            <w:r w:rsidRPr="005C6D68">
              <w:rPr>
                <w:b/>
              </w:rPr>
              <w:t xml:space="preserve">Ispitni rokovi </w:t>
            </w:r>
          </w:p>
          <w:p w:rsidR="0000316B" w:rsidRDefault="0000316B" w:rsidP="009263F7">
            <w:pPr>
              <w:rPr>
                <w:b/>
              </w:rPr>
            </w:pPr>
          </w:p>
          <w:p w:rsidR="0000316B" w:rsidRDefault="0000316B" w:rsidP="009263F7">
            <w:pPr>
              <w:rPr>
                <w:b/>
              </w:rPr>
            </w:pPr>
          </w:p>
          <w:p w:rsidR="005C6D68" w:rsidRDefault="009263F7" w:rsidP="009263F7">
            <w:pPr>
              <w:rPr>
                <w:b/>
              </w:rPr>
            </w:pPr>
            <w:r w:rsidRPr="009263F7">
              <w:rPr>
                <w:b/>
              </w:rPr>
              <w:t xml:space="preserve">Konzultacije </w:t>
            </w:r>
          </w:p>
          <w:p w:rsidR="0000316B" w:rsidRPr="009263F7" w:rsidRDefault="0000316B" w:rsidP="009263F7">
            <w:pPr>
              <w:rPr>
                <w:b/>
              </w:rPr>
            </w:pPr>
          </w:p>
          <w:p w:rsidR="00BD2A03" w:rsidRDefault="00BD2A03" w:rsidP="00D74EE2"/>
          <w:p w:rsidR="009263F7" w:rsidRPr="00D74EE2" w:rsidRDefault="00D74EE2" w:rsidP="009263F7">
            <w:pPr>
              <w:rPr>
                <w:b/>
              </w:rPr>
            </w:pPr>
            <w:r w:rsidRPr="00D74EE2">
              <w:rPr>
                <w:b/>
              </w:rPr>
              <w:t xml:space="preserve">Nastava se održava prema rasporedu objavljenim na mrežnim stranicama studija. </w:t>
            </w:r>
          </w:p>
        </w:tc>
      </w:tr>
    </w:tbl>
    <w:p w:rsidR="005C6D68" w:rsidRDefault="005C6D68"/>
    <w:sectPr w:rsidR="005C6D68" w:rsidSect="0036753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D8A" w:rsidRDefault="00A67D8A" w:rsidP="009263F7">
      <w:pPr>
        <w:spacing w:after="0" w:line="240" w:lineRule="auto"/>
      </w:pPr>
      <w:r>
        <w:separator/>
      </w:r>
    </w:p>
  </w:endnote>
  <w:endnote w:type="continuationSeparator" w:id="0">
    <w:p w:rsidR="00A67D8A" w:rsidRDefault="00A67D8A" w:rsidP="00926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630" w:rsidRDefault="009226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6748"/>
      <w:docPartObj>
        <w:docPartGallery w:val="Page Numbers (Bottom of Page)"/>
        <w:docPartUnique/>
      </w:docPartObj>
    </w:sdtPr>
    <w:sdtEndPr/>
    <w:sdtContent>
      <w:p w:rsidR="009263F7" w:rsidRDefault="00601867">
        <w:pPr>
          <w:pStyle w:val="Footer"/>
        </w:pPr>
        <w:r>
          <w:rPr>
            <w:noProof/>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bottomMargin">
                    <wp:align>center</wp:align>
                  </wp:positionV>
                  <wp:extent cx="565785" cy="191770"/>
                  <wp:effectExtent l="0" t="0" r="0" b="177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rsidR="009263F7" w:rsidRDefault="00E7770B">
                              <w:pPr>
                                <w:pBdr>
                                  <w:top w:val="single" w:sz="4" w:space="1" w:color="7F7F7F" w:themeColor="background1" w:themeShade="7F"/>
                                </w:pBdr>
                                <w:jc w:val="center"/>
                                <w:rPr>
                                  <w:color w:val="C0504D" w:themeColor="accent2"/>
                                </w:rPr>
                              </w:pPr>
                              <w:r>
                                <w:fldChar w:fldCharType="begin"/>
                              </w:r>
                              <w:r w:rsidR="00984F41">
                                <w:instrText xml:space="preserve"> PAGE   \* MERGEFORMAT </w:instrText>
                              </w:r>
                              <w:r>
                                <w:fldChar w:fldCharType="separate"/>
                              </w:r>
                              <w:r w:rsidR="00601867" w:rsidRPr="00601867">
                                <w:rPr>
                                  <w:noProof/>
                                  <w:color w:val="C0504D" w:themeColor="accent2"/>
                                </w:rPr>
                                <w:t>2</w:t>
                              </w:r>
                              <w:r>
                                <w:rPr>
                                  <w:noProof/>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 o:spid="_x0000_s1026" style="position:absolute;margin-left:0;margin-top:0;width:44.55pt;height:15.1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" filled="f" fillcolor="#c0504d [3205]" stroked="f" strokecolor="#4f81bd [3204]" strokeweight="2.25pt">
                  <v:textbox inset=",0,,0">
                    <w:txbxContent>
                      <w:p w:rsidR="009263F7" w:rsidRDefault="00E7770B">
                        <w:pPr>
                          <w:pBdr>
                            <w:top w:val="single" w:sz="4" w:space="1" w:color="7F7F7F" w:themeColor="background1" w:themeShade="7F"/>
                          </w:pBdr>
                          <w:jc w:val="center"/>
                          <w:rPr>
                            <w:color w:val="C0504D" w:themeColor="accent2"/>
                          </w:rPr>
                        </w:pPr>
                        <w:r>
                          <w:fldChar w:fldCharType="begin"/>
                        </w:r>
                        <w:r w:rsidR="00984F41">
                          <w:instrText xml:space="preserve"> PAGE   \* MERGEFORMAT </w:instrText>
                        </w:r>
                        <w:r>
                          <w:fldChar w:fldCharType="separate"/>
                        </w:r>
                        <w:r w:rsidR="00601867" w:rsidRPr="00601867">
                          <w:rPr>
                            <w:noProof/>
                            <w:color w:val="C0504D" w:themeColor="accent2"/>
                          </w:rPr>
                          <w:t>2</w:t>
                        </w:r>
                        <w:r>
                          <w:rPr>
                            <w:noProof/>
                            <w:color w:val="C0504D" w:themeColor="accent2"/>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630" w:rsidRDefault="009226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D8A" w:rsidRDefault="00A67D8A" w:rsidP="009263F7">
      <w:pPr>
        <w:spacing w:after="0" w:line="240" w:lineRule="auto"/>
      </w:pPr>
      <w:r>
        <w:separator/>
      </w:r>
    </w:p>
  </w:footnote>
  <w:footnote w:type="continuationSeparator" w:id="0">
    <w:p w:rsidR="00A67D8A" w:rsidRDefault="00A67D8A" w:rsidP="00926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630" w:rsidRDefault="009226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8C1" w:rsidRPr="003878C1" w:rsidRDefault="003878C1" w:rsidP="003878C1">
    <w:pPr>
      <w:pStyle w:val="Header"/>
      <w:pBdr>
        <w:bottom w:val="thickThinSmallGap" w:sz="24" w:space="1" w:color="622423" w:themeColor="accent2" w:themeShade="7F"/>
      </w:pBdr>
      <w:rPr>
        <w:rFonts w:asciiTheme="majorHAnsi" w:eastAsiaTheme="majorEastAsia" w:hAnsiTheme="majorHAnsi" w:cstheme="majorBidi"/>
        <w:sz w:val="24"/>
        <w:szCs w:val="24"/>
      </w:rPr>
    </w:pPr>
    <w:r w:rsidRPr="003878C1">
      <w:rPr>
        <w:rFonts w:asciiTheme="majorHAnsi" w:eastAsiaTheme="majorEastAsia" w:hAnsiTheme="majorHAnsi" w:cstheme="majorBidi"/>
        <w:sz w:val="24"/>
        <w:szCs w:val="24"/>
      </w:rPr>
      <w:t xml:space="preserve">Zdravstveno veleučilište </w:t>
    </w:r>
  </w:p>
  <w:p w:rsidR="003878C1" w:rsidRDefault="003878C1" w:rsidP="003878C1">
    <w:pPr>
      <w:pStyle w:val="Header"/>
      <w:pBdr>
        <w:bottom w:val="thickThinSmallGap" w:sz="24" w:space="1" w:color="622423" w:themeColor="accent2" w:themeShade="7F"/>
      </w:pBdr>
      <w:rPr>
        <w:rFonts w:asciiTheme="majorHAnsi" w:eastAsiaTheme="majorEastAsia" w:hAnsiTheme="majorHAnsi" w:cstheme="majorBidi"/>
        <w:sz w:val="32"/>
        <w:szCs w:val="32"/>
      </w:rPr>
    </w:pPr>
  </w:p>
  <w:sdt>
    <w:sdtPr>
      <w:rPr>
        <w:rFonts w:asciiTheme="majorHAnsi" w:eastAsiaTheme="majorEastAsia" w:hAnsiTheme="majorHAnsi" w:cstheme="majorBidi"/>
        <w:sz w:val="32"/>
        <w:szCs w:val="32"/>
      </w:rPr>
      <w:alias w:val="Naslov"/>
      <w:id w:val="77738743"/>
      <w:placeholder>
        <w:docPart w:val="55D56733AE2847E0927FA999DA88E04C"/>
      </w:placeholder>
      <w:dataBinding w:prefixMappings="xmlns:ns0='http://schemas.openxmlformats.org/package/2006/metadata/core-properties' xmlns:ns1='http://purl.org/dc/elements/1.1/'" w:xpath="/ns0:coreProperties[1]/ns1:title[1]" w:storeItemID="{6C3C8BC8-F283-45AE-878A-BAB7291924A1}"/>
      <w:text/>
    </w:sdtPr>
    <w:sdtEndPr/>
    <w:sdtContent>
      <w:p w:rsidR="002E0345" w:rsidRDefault="002E034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IZVEDBENI PLAN NASTAVE</w:t>
        </w:r>
      </w:p>
    </w:sdtContent>
  </w:sdt>
  <w:p w:rsidR="009263F7" w:rsidRDefault="009263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630" w:rsidRDefault="009226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D68"/>
    <w:rsid w:val="0000316B"/>
    <w:rsid w:val="00025ED4"/>
    <w:rsid w:val="000D0426"/>
    <w:rsid w:val="001478F3"/>
    <w:rsid w:val="00152CF2"/>
    <w:rsid w:val="0017390C"/>
    <w:rsid w:val="0017622E"/>
    <w:rsid w:val="001A75CC"/>
    <w:rsid w:val="00283425"/>
    <w:rsid w:val="002A7377"/>
    <w:rsid w:val="002E0345"/>
    <w:rsid w:val="0036413F"/>
    <w:rsid w:val="00367531"/>
    <w:rsid w:val="003720A9"/>
    <w:rsid w:val="003878C1"/>
    <w:rsid w:val="003A39D7"/>
    <w:rsid w:val="003B1CA7"/>
    <w:rsid w:val="003F5CE4"/>
    <w:rsid w:val="00440D1A"/>
    <w:rsid w:val="004522EC"/>
    <w:rsid w:val="00474A5B"/>
    <w:rsid w:val="0050065A"/>
    <w:rsid w:val="005452CE"/>
    <w:rsid w:val="0056785B"/>
    <w:rsid w:val="005C6D68"/>
    <w:rsid w:val="005D2132"/>
    <w:rsid w:val="00601867"/>
    <w:rsid w:val="0070593C"/>
    <w:rsid w:val="0075734D"/>
    <w:rsid w:val="00813966"/>
    <w:rsid w:val="0081703B"/>
    <w:rsid w:val="00822156"/>
    <w:rsid w:val="00844C91"/>
    <w:rsid w:val="00853EA7"/>
    <w:rsid w:val="008D3CBF"/>
    <w:rsid w:val="008E1C5C"/>
    <w:rsid w:val="00922630"/>
    <w:rsid w:val="009263F7"/>
    <w:rsid w:val="00926E9C"/>
    <w:rsid w:val="0092780F"/>
    <w:rsid w:val="00951C5F"/>
    <w:rsid w:val="009707D9"/>
    <w:rsid w:val="00984F41"/>
    <w:rsid w:val="009863A4"/>
    <w:rsid w:val="009E2349"/>
    <w:rsid w:val="00A222F8"/>
    <w:rsid w:val="00A64DE2"/>
    <w:rsid w:val="00A67D8A"/>
    <w:rsid w:val="00A81011"/>
    <w:rsid w:val="00AA04AE"/>
    <w:rsid w:val="00B37A61"/>
    <w:rsid w:val="00BD2A03"/>
    <w:rsid w:val="00BF3F56"/>
    <w:rsid w:val="00BF485D"/>
    <w:rsid w:val="00C511DE"/>
    <w:rsid w:val="00D027BA"/>
    <w:rsid w:val="00D053D9"/>
    <w:rsid w:val="00D74EE2"/>
    <w:rsid w:val="00D800CD"/>
    <w:rsid w:val="00DC2101"/>
    <w:rsid w:val="00DC6E4F"/>
    <w:rsid w:val="00E24187"/>
    <w:rsid w:val="00E452C2"/>
    <w:rsid w:val="00E7725C"/>
    <w:rsid w:val="00E7770B"/>
    <w:rsid w:val="00E90C53"/>
    <w:rsid w:val="00EC0A1E"/>
    <w:rsid w:val="00F04D03"/>
    <w:rsid w:val="00F079F5"/>
    <w:rsid w:val="00F126EB"/>
    <w:rsid w:val="00FD4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583635-0C86-4313-9493-3BD60296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63F7"/>
    <w:pPr>
      <w:tabs>
        <w:tab w:val="center" w:pos="4536"/>
        <w:tab w:val="right" w:pos="9072"/>
      </w:tabs>
      <w:spacing w:after="0" w:line="240" w:lineRule="auto"/>
    </w:pPr>
  </w:style>
  <w:style w:type="character" w:customStyle="1" w:styleId="HeaderChar">
    <w:name w:val="Header Char"/>
    <w:basedOn w:val="DefaultParagraphFont"/>
    <w:link w:val="Header"/>
    <w:uiPriority w:val="99"/>
    <w:rsid w:val="009263F7"/>
  </w:style>
  <w:style w:type="paragraph" w:styleId="Footer">
    <w:name w:val="footer"/>
    <w:basedOn w:val="Normal"/>
    <w:link w:val="FooterChar"/>
    <w:uiPriority w:val="99"/>
    <w:semiHidden/>
    <w:unhideWhenUsed/>
    <w:rsid w:val="009263F7"/>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9263F7"/>
  </w:style>
  <w:style w:type="paragraph" w:styleId="BalloonText">
    <w:name w:val="Balloon Text"/>
    <w:basedOn w:val="Normal"/>
    <w:link w:val="BalloonTextChar"/>
    <w:uiPriority w:val="99"/>
    <w:semiHidden/>
    <w:unhideWhenUsed/>
    <w:rsid w:val="00926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3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77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D56733AE2847E0927FA999DA88E04C"/>
        <w:category>
          <w:name w:val="Općenito"/>
          <w:gallery w:val="placeholder"/>
        </w:category>
        <w:types>
          <w:type w:val="bbPlcHdr"/>
        </w:types>
        <w:behaviors>
          <w:behavior w:val="content"/>
        </w:behaviors>
        <w:guid w:val="{C39522E5-8C35-4216-9DE6-495C6F0E93CA}"/>
      </w:docPartPr>
      <w:docPartBody>
        <w:p w:rsidR="00A76569" w:rsidRDefault="00EF2996" w:rsidP="00EF2996">
          <w:pPr>
            <w:pStyle w:val="55D56733AE2847E0927FA999DA88E04C"/>
          </w:pPr>
          <w:r>
            <w:rPr>
              <w:rFonts w:asciiTheme="majorHAnsi" w:eastAsiaTheme="majorEastAsia" w:hAnsiTheme="majorHAnsi" w:cstheme="majorBidi"/>
              <w:sz w:val="32"/>
              <w:szCs w:val="32"/>
            </w:rPr>
            <w:t>[Upišite 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EF2996"/>
    <w:rsid w:val="0004128A"/>
    <w:rsid w:val="00185B12"/>
    <w:rsid w:val="00207883"/>
    <w:rsid w:val="003B47EA"/>
    <w:rsid w:val="005F0CBA"/>
    <w:rsid w:val="0063527C"/>
    <w:rsid w:val="0078469E"/>
    <w:rsid w:val="007C7FD6"/>
    <w:rsid w:val="008A0F28"/>
    <w:rsid w:val="00A76569"/>
    <w:rsid w:val="00A858D5"/>
    <w:rsid w:val="00AF409E"/>
    <w:rsid w:val="00C02150"/>
    <w:rsid w:val="00C216E5"/>
    <w:rsid w:val="00D4392E"/>
    <w:rsid w:val="00EF2996"/>
    <w:rsid w:val="00FA2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8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1687E10F3B49FF934AF8ADB963094A">
    <w:name w:val="DF1687E10F3B49FF934AF8ADB963094A"/>
    <w:rsid w:val="00EF2996"/>
  </w:style>
  <w:style w:type="paragraph" w:customStyle="1" w:styleId="AD84FDBD5B724D7AABD999A0F4B1FEA2">
    <w:name w:val="AD84FDBD5B724D7AABD999A0F4B1FEA2"/>
    <w:rsid w:val="00EF2996"/>
  </w:style>
  <w:style w:type="paragraph" w:customStyle="1" w:styleId="55D56733AE2847E0927FA999DA88E04C">
    <w:name w:val="55D56733AE2847E0927FA999DA88E04C"/>
    <w:rsid w:val="00EF2996"/>
  </w:style>
  <w:style w:type="paragraph" w:customStyle="1" w:styleId="9DC7B4D3ED78419090F694E669B2DCDC">
    <w:name w:val="9DC7B4D3ED78419090F694E669B2DCDC"/>
    <w:rsid w:val="00A76569"/>
  </w:style>
  <w:style w:type="paragraph" w:customStyle="1" w:styleId="D213B328939F435A8FE4DAE12AC80FA4">
    <w:name w:val="D213B328939F435A8FE4DAE12AC80FA4"/>
    <w:rsid w:val="00A765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68C4F3B8A7A41C44B13734D9234F4214" ma:contentTypeVersion="0" ma:contentTypeDescription="Stvaranje novog dokumenta." ma:contentTypeScope="" ma:versionID="9a3772127330438a71c5fc39f76f3c46">
  <xsd:schema xmlns:xsd="http://www.w3.org/2001/XMLSchema" xmlns:xs="http://www.w3.org/2001/XMLSchema" xmlns:p="http://schemas.microsoft.com/office/2006/metadata/properties" targetNamespace="http://schemas.microsoft.com/office/2006/metadata/properties" ma:root="true" ma:fieldsID="b8b5f3248e05cc689270537c622a7b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EE96D7-FFEB-4A84-940C-9A3B85E93ADC}">
  <ds:schemaRefs>
    <ds:schemaRef ds:uri="http://schemas.openxmlformats.org/officeDocument/2006/bibliography"/>
  </ds:schemaRefs>
</ds:datastoreItem>
</file>

<file path=customXml/itemProps2.xml><?xml version="1.0" encoding="utf-8"?>
<ds:datastoreItem xmlns:ds="http://schemas.openxmlformats.org/officeDocument/2006/customXml" ds:itemID="{A093A5BB-A0BD-4FB5-ADAD-D5E1E52EB21A}"/>
</file>

<file path=customXml/itemProps3.xml><?xml version="1.0" encoding="utf-8"?>
<ds:datastoreItem xmlns:ds="http://schemas.openxmlformats.org/officeDocument/2006/customXml" ds:itemID="{AB3C6079-66E7-471E-BC7A-BE4B7FE862CD}"/>
</file>

<file path=customXml/itemProps4.xml><?xml version="1.0" encoding="utf-8"?>
<ds:datastoreItem xmlns:ds="http://schemas.openxmlformats.org/officeDocument/2006/customXml" ds:itemID="{A70B3973-3491-432E-ACDF-D189DB86ECA4}"/>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2672</Characters>
  <Application>Microsoft Office Word</Application>
  <DocSecurity>0</DocSecurity>
  <Lines>22</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IZVEDBENI PLAN NASTAVE</vt:lpstr>
      <vt:lpstr>IZVEDBENI PLAN NASTAVE</vt:lpstr>
    </vt:vector>
  </TitlesOfParts>
  <Company>ZDRAVSTVENO VELEUČILIŠTE</Company>
  <LinksUpToDate>false</LinksUpToDate>
  <CharactersWithSpaces>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IZVEDBENI PLAN NASTAVE</dc:title>
  <dc:creator>snjezana</dc:creator>
  <cp:lastModifiedBy>Jasminka Stepan</cp:lastModifiedBy>
  <cp:revision>2</cp:revision>
  <cp:lastPrinted>2012-09-11T10:12:00Z</cp:lastPrinted>
  <dcterms:created xsi:type="dcterms:W3CDTF">2018-11-12T19:33:00Z</dcterms:created>
  <dcterms:modified xsi:type="dcterms:W3CDTF">2018-11-12T19:33:00Z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0x01010068C4F3B8A7A41C44B13734D9234F4214</vt:lpwstr>
  </property>
</Properties>
</file>