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5A0" w14:textId="2AB5EDC2" w:rsidR="00CF222C" w:rsidRPr="001D477F" w:rsidRDefault="00B71CA8">
      <w:pPr>
        <w:rPr>
          <w:rFonts w:ascii="Arial Narrow" w:hAnsi="Arial Narrow"/>
        </w:rPr>
      </w:pPr>
      <w:r w:rsidRPr="001D477F">
        <w:rPr>
          <w:rFonts w:ascii="Arial Narrow" w:hAnsi="Arial Narrow"/>
        </w:rPr>
        <w:t xml:space="preserve">TABLICA – OPIS KOLEGIJA U STUDIJSKOM PLANU </w:t>
      </w:r>
    </w:p>
    <w:p w14:paraId="0E71DA30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9"/>
        <w:gridCol w:w="2294"/>
        <w:gridCol w:w="1483"/>
        <w:gridCol w:w="3106"/>
      </w:tblGrid>
      <w:tr w:rsidR="00B71CA8" w:rsidRPr="00353F5C" w14:paraId="721ECF17" w14:textId="77777777" w:rsidTr="005D3CA4">
        <w:trPr>
          <w:trHeight w:hRule="exact" w:val="58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0CC211B" w14:textId="77777777" w:rsidR="00B71CA8" w:rsidRPr="00520849" w:rsidRDefault="00B71CA8" w:rsidP="005D3CA4">
            <w:pPr>
              <w:rPr>
                <w:rFonts w:ascii="Arial Narrow" w:hAnsi="Arial Narrow"/>
                <w:b/>
              </w:rPr>
            </w:pPr>
            <w:bookmarkStart w:id="0" w:name="_Toc377456076"/>
            <w:bookmarkStart w:id="1" w:name="_Toc377547283"/>
            <w:bookmarkStart w:id="2" w:name="_Toc377547506"/>
            <w:bookmarkStart w:id="3" w:name="_Toc377989337"/>
            <w:bookmarkStart w:id="4" w:name="_Toc378849896"/>
            <w:bookmarkStart w:id="5" w:name="_Toc443564303"/>
            <w:bookmarkStart w:id="6" w:name="_Toc516485768"/>
            <w:r w:rsidRPr="00520849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B71CA8" w:rsidRPr="00353F5C" w14:paraId="6BE073CA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2FB8DBC" w14:textId="77777777" w:rsidR="00B71CA8" w:rsidRPr="00520849" w:rsidRDefault="00B71CA8" w:rsidP="005D3CA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819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7919D3" w14:textId="27024902" w:rsidR="00B71CA8" w:rsidRPr="00520849" w:rsidRDefault="00F42544" w:rsidP="005D3CA4">
            <w:pPr>
              <w:pStyle w:val="Naslov2"/>
              <w:rPr>
                <w:sz w:val="24"/>
                <w:lang w:val="hr-HR"/>
              </w:rPr>
            </w:pPr>
            <w:r w:rsidRPr="00520849">
              <w:rPr>
                <w:sz w:val="24"/>
                <w:lang w:val="hr-HR"/>
              </w:rPr>
              <w:t>Osnove menadžmenta</w:t>
            </w:r>
          </w:p>
        </w:tc>
      </w:tr>
      <w:tr w:rsidR="00B71CA8" w:rsidRPr="00353F5C" w14:paraId="7BB7D961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CC6F8CE" w14:textId="77777777" w:rsidR="00B71CA8" w:rsidRPr="00520849" w:rsidRDefault="00B71CA8" w:rsidP="005D3CA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39D866F1" w14:textId="0C6BAE80" w:rsidR="00F42544" w:rsidRPr="00520849" w:rsidRDefault="00F42544" w:rsidP="00F4254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20849">
              <w:rPr>
                <w:rFonts w:ascii="Arial Narrow" w:hAnsi="Arial Narrow" w:cs="Arial"/>
                <w:b/>
              </w:rPr>
              <w:t>Specijali</w:t>
            </w:r>
            <w:r w:rsidRPr="00520849">
              <w:rPr>
                <w:rFonts w:ascii="Arial Narrow" w:hAnsi="Arial Narrow"/>
                <w:b/>
              </w:rPr>
              <w:t xml:space="preserve">stički diplomski </w:t>
            </w:r>
            <w:r w:rsidR="000015D2">
              <w:rPr>
                <w:rFonts w:ascii="Arial Narrow" w:hAnsi="Arial Narrow"/>
                <w:b/>
              </w:rPr>
              <w:t xml:space="preserve">stručni </w:t>
            </w:r>
            <w:r w:rsidRPr="00520849">
              <w:rPr>
                <w:rFonts w:ascii="Arial Narrow" w:hAnsi="Arial Narrow"/>
                <w:b/>
              </w:rPr>
              <w:t>studij Menadžment u sestrinstvu</w:t>
            </w:r>
          </w:p>
          <w:p w14:paraId="1843CA62" w14:textId="3DF1F2A8" w:rsidR="00B71CA8" w:rsidRPr="00520849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</w:p>
        </w:tc>
      </w:tr>
      <w:tr w:rsidR="00F42544" w:rsidRPr="00353F5C" w14:paraId="1467CBA0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67305C2" w14:textId="3B5ED7CE" w:rsidR="00F42544" w:rsidRPr="00520849" w:rsidRDefault="00F42544" w:rsidP="005D3CA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Voditelj kolegija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4013BDAF" w14:textId="77777777" w:rsidR="00F42544" w:rsidRPr="00F42544" w:rsidRDefault="00F42544" w:rsidP="00F42544">
            <w:pPr>
              <w:autoSpaceDN w:val="0"/>
              <w:spacing w:before="60" w:after="60"/>
              <w:rPr>
                <w:rFonts w:ascii="Arial Narrow" w:hAnsi="Arial Narrow" w:cs="Arial"/>
              </w:rPr>
            </w:pPr>
            <w:r w:rsidRPr="00F42544">
              <w:rPr>
                <w:rFonts w:ascii="Arial Narrow" w:hAnsi="Arial Narrow" w:cs="Arial"/>
                <w:sz w:val="22"/>
                <w:szCs w:val="22"/>
              </w:rPr>
              <w:t>Doc. dr. sc. Mara Županić, prof. struč. stud.</w:t>
            </w:r>
          </w:p>
          <w:p w14:paraId="75B0A2F0" w14:textId="77777777" w:rsidR="00F42544" w:rsidRPr="00520849" w:rsidRDefault="00F42544" w:rsidP="00F42544">
            <w:pPr>
              <w:rPr>
                <w:rFonts w:ascii="Arial Narrow" w:hAnsi="Arial Narrow" w:cs="Arial"/>
                <w:b/>
              </w:rPr>
            </w:pPr>
          </w:p>
        </w:tc>
      </w:tr>
      <w:tr w:rsidR="00F42544" w:rsidRPr="00353F5C" w14:paraId="66C2A21D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1B0A630" w14:textId="498DFA4B" w:rsidR="00F42544" w:rsidRPr="00520849" w:rsidRDefault="00F42544" w:rsidP="005D3CA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Izvođači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439CE5B8" w14:textId="77777777" w:rsidR="00F42544" w:rsidRPr="00F42544" w:rsidRDefault="00F42544" w:rsidP="00F42544">
            <w:pPr>
              <w:autoSpaceDN w:val="0"/>
              <w:spacing w:before="60" w:after="60"/>
              <w:rPr>
                <w:rFonts w:ascii="Arial Narrow" w:hAnsi="Arial Narrow" w:cs="Arial"/>
              </w:rPr>
            </w:pPr>
            <w:r w:rsidRPr="00F42544">
              <w:rPr>
                <w:rFonts w:ascii="Arial Narrow" w:hAnsi="Arial Narrow" w:cs="Arial"/>
                <w:sz w:val="22"/>
                <w:szCs w:val="22"/>
              </w:rPr>
              <w:t xml:space="preserve">Olja Vori, mag.med.techn. </w:t>
            </w:r>
          </w:p>
          <w:p w14:paraId="50E470A7" w14:textId="77777777" w:rsidR="00F42544" w:rsidRPr="00520849" w:rsidRDefault="00F42544" w:rsidP="00F42544">
            <w:pPr>
              <w:rPr>
                <w:rFonts w:ascii="Arial Narrow" w:hAnsi="Arial Narrow" w:cs="Arial"/>
                <w:b/>
              </w:rPr>
            </w:pPr>
          </w:p>
        </w:tc>
      </w:tr>
      <w:tr w:rsidR="00B71CA8" w:rsidRPr="00353F5C" w14:paraId="30037BD0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71B5EE4" w14:textId="77777777" w:rsidR="00B71CA8" w:rsidRPr="00520849" w:rsidRDefault="00B71CA8" w:rsidP="005D3CA4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819" w:type="pct"/>
            <w:gridSpan w:val="3"/>
            <w:tcBorders>
              <w:left w:val="single" w:sz="4" w:space="0" w:color="000000"/>
            </w:tcBorders>
            <w:vAlign w:val="center"/>
          </w:tcPr>
          <w:p w14:paraId="50142605" w14:textId="65562D67" w:rsidR="00B71CA8" w:rsidRPr="00520849" w:rsidRDefault="00F42544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B71CA8" w:rsidRPr="00353F5C" w14:paraId="35E1C86D" w14:textId="77777777" w:rsidTr="00B71CA8">
        <w:trPr>
          <w:trHeight w:val="405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0B1A6EB" w14:textId="77777777" w:rsidR="00B71CA8" w:rsidRPr="00520849" w:rsidRDefault="00B71CA8" w:rsidP="005D3CA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1273" w:type="pct"/>
            <w:tcBorders>
              <w:left w:val="single" w:sz="4" w:space="0" w:color="000000"/>
            </w:tcBorders>
            <w:vAlign w:val="center"/>
          </w:tcPr>
          <w:p w14:paraId="1B0355C6" w14:textId="77777777" w:rsidR="00B71CA8" w:rsidRPr="00520849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82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E49FE" w14:textId="5C7AEE47" w:rsidR="00B71CA8" w:rsidRPr="00520849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0A5D3C5F" w14:textId="167E328C" w:rsidR="00B71CA8" w:rsidRPr="00520849" w:rsidRDefault="00F42544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 i II semestar</w:t>
            </w:r>
          </w:p>
        </w:tc>
      </w:tr>
      <w:tr w:rsidR="00B71CA8" w:rsidRPr="00353F5C" w14:paraId="72AD3A80" w14:textId="77777777" w:rsidTr="00B71CA8">
        <w:trPr>
          <w:trHeight w:val="145"/>
          <w:jc w:val="center"/>
        </w:trPr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1D2D51D" w14:textId="77777777" w:rsidR="00B71CA8" w:rsidRPr="00520849" w:rsidRDefault="00B71CA8" w:rsidP="005D3CA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46995F" w14:textId="77777777" w:rsidR="00B71CA8" w:rsidRPr="00520849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2F769134" w14:textId="67BE8E1B" w:rsidR="00B71CA8" w:rsidRPr="00520849" w:rsidRDefault="00F42544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9,5</w:t>
            </w:r>
          </w:p>
        </w:tc>
      </w:tr>
      <w:tr w:rsidR="00B71CA8" w:rsidRPr="00353F5C" w14:paraId="0B107FDC" w14:textId="77777777" w:rsidTr="00B71CA8">
        <w:trPr>
          <w:trHeight w:val="145"/>
          <w:jc w:val="center"/>
        </w:trPr>
        <w:tc>
          <w:tcPr>
            <w:tcW w:w="1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AAA3B14" w14:textId="77777777" w:rsidR="00B71CA8" w:rsidRPr="00520849" w:rsidRDefault="00B71CA8" w:rsidP="005D3CA4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FA974C2" w14:textId="4E33BD11" w:rsidR="00B71CA8" w:rsidRPr="00520849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Broj sati svih oblika nastave (P,S,V)</w:t>
            </w:r>
          </w:p>
        </w:tc>
        <w:tc>
          <w:tcPr>
            <w:tcW w:w="1724" w:type="pct"/>
            <w:tcBorders>
              <w:left w:val="single" w:sz="4" w:space="0" w:color="000000"/>
            </w:tcBorders>
            <w:vAlign w:val="center"/>
          </w:tcPr>
          <w:p w14:paraId="52F1387A" w14:textId="31E9227F" w:rsidR="00B71CA8" w:rsidRPr="00520849" w:rsidRDefault="00F42544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P45</w:t>
            </w: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ab/>
              <w:t>S15</w:t>
            </w:r>
            <w:r w:rsidRPr="005208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ab/>
              <w:t>V30</w:t>
            </w:r>
          </w:p>
        </w:tc>
      </w:tr>
    </w:tbl>
    <w:p w14:paraId="1305BEBE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57"/>
        <w:gridCol w:w="706"/>
        <w:gridCol w:w="1322"/>
        <w:gridCol w:w="679"/>
        <w:gridCol w:w="508"/>
        <w:gridCol w:w="682"/>
        <w:gridCol w:w="649"/>
        <w:gridCol w:w="998"/>
        <w:gridCol w:w="619"/>
        <w:gridCol w:w="1698"/>
      </w:tblGrid>
      <w:tr w:rsidR="00B71CA8" w:rsidRPr="00353F5C" w14:paraId="734E7936" w14:textId="77777777" w:rsidTr="005D3CA4">
        <w:trPr>
          <w:trHeight w:hRule="exact" w:val="438"/>
        </w:trPr>
        <w:tc>
          <w:tcPr>
            <w:tcW w:w="5000" w:type="pct"/>
            <w:gridSpan w:val="10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5E732BC1" w14:textId="77777777" w:rsidR="00B71CA8" w:rsidRPr="00353F5C" w:rsidRDefault="00B71CA8" w:rsidP="00B71CA8">
            <w:pPr>
              <w:pStyle w:val="Odlomakpopisa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OPIS PREDMETA</w:t>
            </w:r>
          </w:p>
          <w:p w14:paraId="036275D1" w14:textId="77777777" w:rsidR="00B71CA8" w:rsidRPr="00353F5C" w:rsidRDefault="00B71CA8" w:rsidP="005D3CA4">
            <w:pPr>
              <w:pStyle w:val="Naslov3"/>
              <w:spacing w:before="60"/>
              <w:rPr>
                <w:rFonts w:cs="Arial"/>
                <w:b/>
                <w:color w:val="000000"/>
                <w:szCs w:val="24"/>
                <w:lang w:val="hr-HR"/>
              </w:rPr>
            </w:pPr>
          </w:p>
        </w:tc>
      </w:tr>
      <w:tr w:rsidR="00B71CA8" w:rsidRPr="00353F5C" w14:paraId="51265223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8D05DA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Ciljevi predmeta</w:t>
            </w:r>
          </w:p>
        </w:tc>
      </w:tr>
      <w:tr w:rsidR="00B71CA8" w:rsidRPr="00353F5C" w14:paraId="090EA73C" w14:textId="77777777" w:rsidTr="005D3CA4">
        <w:trPr>
          <w:trHeight w:val="43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51DC3CA0" w14:textId="5FCCC22A" w:rsidR="00B71CA8" w:rsidRPr="00D67186" w:rsidRDefault="00F42544" w:rsidP="00D67186">
            <w:pPr>
              <w:pStyle w:val="FieldText"/>
              <w:spacing w:before="60" w:after="60"/>
              <w:ind w:left="720"/>
              <w:jc w:val="both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D67186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U kolegiju će se studenti upoznati s osnovnim pojmovima managementa, značajkama modernog managementa i managera, funkcijama managementa, razinama managementa, sustavima managementa, stilovima vođenja, odlučivanju, ciljevima i strategijom organizacije, zadacima i tehnologijom organizacije, integracijskim procesima, oblikovanjem organizacijske strukture, organizacijom upravljanja i dr. kako bi što bolje mogli pratiti uža i specijalna područja managementa</w:t>
            </w:r>
            <w:r w:rsidR="00520849" w:rsidRPr="00D67186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,</w:t>
            </w:r>
          </w:p>
        </w:tc>
      </w:tr>
      <w:tr w:rsidR="00B71CA8" w:rsidRPr="00353F5C" w14:paraId="3360A034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326BDC" w14:textId="77777777" w:rsidR="00B71CA8" w:rsidRPr="00353F5C" w:rsidRDefault="00B71CA8" w:rsidP="00B71CA8">
            <w:pPr>
              <w:pStyle w:val="FieldText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b w:val="0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i/>
                <w:sz w:val="24"/>
                <w:szCs w:val="24"/>
                <w:lang w:val="hr-HR"/>
              </w:rPr>
              <w:t>Uvjeti za upis predmeta</w:t>
            </w:r>
          </w:p>
        </w:tc>
      </w:tr>
      <w:tr w:rsidR="00B71CA8" w:rsidRPr="00353F5C" w14:paraId="0CF2E325" w14:textId="77777777" w:rsidTr="005D3CA4">
        <w:trPr>
          <w:trHeight w:val="43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EB718" w14:textId="77777777" w:rsidR="00B71CA8" w:rsidRPr="00353F5C" w:rsidRDefault="00B71CA8" w:rsidP="005D3CA4">
            <w:pPr>
              <w:pStyle w:val="Tijeloteksta"/>
              <w:spacing w:before="60" w:after="60"/>
              <w:ind w:left="72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Nema uvjeta</w:t>
            </w:r>
          </w:p>
        </w:tc>
      </w:tr>
      <w:tr w:rsidR="00B71CA8" w:rsidRPr="00353F5C" w14:paraId="0269265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5D00CA99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 xml:space="preserve">Očekivani ishodi učenja za predmet </w:t>
            </w:r>
          </w:p>
        </w:tc>
      </w:tr>
      <w:tr w:rsidR="00B71CA8" w:rsidRPr="00353F5C" w14:paraId="2D0D3BB6" w14:textId="77777777" w:rsidTr="005D3CA4">
        <w:trPr>
          <w:trHeight w:val="432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6BCCA114" w14:textId="39421288" w:rsidR="00A14FDF" w:rsidRPr="00D67186" w:rsidRDefault="00A14FDF" w:rsidP="00A14FDF">
            <w:pPr>
              <w:pStyle w:val="FieldText"/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D67186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Nakon odslušanog kolegija i položenog </w:t>
            </w:r>
            <w:r w:rsidR="00766031" w:rsidRPr="00D67186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ispita student će moći:</w:t>
            </w:r>
          </w:p>
          <w:p w14:paraId="71BA5DC4" w14:textId="77777777" w:rsidR="00F42544" w:rsidRPr="00D67186" w:rsidRDefault="00F42544" w:rsidP="00F42544">
            <w:pPr>
              <w:numPr>
                <w:ilvl w:val="0"/>
                <w:numId w:val="6"/>
              </w:numPr>
              <w:suppressAutoHyphens/>
              <w:autoSpaceDN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186">
              <w:rPr>
                <w:rFonts w:ascii="Arial Narrow" w:hAnsi="Arial Narrow" w:cs="Arial"/>
                <w:color w:val="000000"/>
                <w:sz w:val="22"/>
                <w:szCs w:val="22"/>
              </w:rPr>
              <w:t>objasniti osnovne pojmove funkcije menadžmenta  IU1</w:t>
            </w:r>
          </w:p>
          <w:p w14:paraId="15AC10E2" w14:textId="77777777" w:rsidR="00F42544" w:rsidRPr="00D67186" w:rsidRDefault="00F42544" w:rsidP="00F42544">
            <w:pPr>
              <w:numPr>
                <w:ilvl w:val="0"/>
                <w:numId w:val="6"/>
              </w:numPr>
              <w:suppressAutoHyphens/>
              <w:autoSpaceDN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186">
              <w:rPr>
                <w:rFonts w:ascii="Arial Narrow" w:hAnsi="Arial Narrow" w:cs="Arial"/>
                <w:color w:val="000000"/>
                <w:sz w:val="22"/>
                <w:szCs w:val="22"/>
              </w:rPr>
              <w:t>navesti osnovne tehnike planiranja, organiziranja, vođenja, kontrole, upravljanja ljudima, promjenama i rizicima te odlučivanja IU2</w:t>
            </w:r>
          </w:p>
          <w:p w14:paraId="05105824" w14:textId="77777777" w:rsidR="00F42544" w:rsidRPr="00D67186" w:rsidRDefault="00F42544" w:rsidP="00F42544">
            <w:pPr>
              <w:numPr>
                <w:ilvl w:val="0"/>
                <w:numId w:val="6"/>
              </w:numPr>
              <w:suppressAutoHyphens/>
              <w:autoSpaceDN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186">
              <w:rPr>
                <w:rFonts w:ascii="Arial Narrow" w:hAnsi="Arial Narrow" w:cs="Arial"/>
                <w:color w:val="000000"/>
                <w:sz w:val="22"/>
                <w:szCs w:val="22"/>
              </w:rPr>
              <w:t>opisati vještine timskog vođenja i interdisciplinarne suradnje IU3</w:t>
            </w:r>
          </w:p>
          <w:p w14:paraId="5F120CBB" w14:textId="77777777" w:rsidR="00F42544" w:rsidRPr="00D67186" w:rsidRDefault="00F42544" w:rsidP="00F42544">
            <w:pPr>
              <w:numPr>
                <w:ilvl w:val="0"/>
                <w:numId w:val="6"/>
              </w:numPr>
              <w:suppressAutoHyphens/>
              <w:autoSpaceDN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186">
              <w:rPr>
                <w:rFonts w:ascii="Arial Narrow" w:hAnsi="Arial Narrow" w:cs="Arial"/>
                <w:color w:val="000000"/>
                <w:sz w:val="22"/>
                <w:szCs w:val="22"/>
              </w:rPr>
              <w:t>navesti standarde i norme za upravljanje kvalitetom IU4</w:t>
            </w:r>
          </w:p>
          <w:p w14:paraId="0C9AE343" w14:textId="5CF26165" w:rsidR="00B71CA8" w:rsidRPr="00817BA1" w:rsidRDefault="00F42544" w:rsidP="00817BA1">
            <w:pPr>
              <w:numPr>
                <w:ilvl w:val="0"/>
                <w:numId w:val="6"/>
              </w:numPr>
              <w:suppressAutoHyphens/>
              <w:autoSpaceDN w:val="0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186">
              <w:rPr>
                <w:rFonts w:ascii="Arial Narrow" w:hAnsi="Arial Narrow" w:cs="Arial"/>
                <w:color w:val="000000"/>
                <w:sz w:val="22"/>
                <w:szCs w:val="22"/>
              </w:rPr>
              <w:t>dati primjer menadžmenta u sestrinskoj praksi IU5</w:t>
            </w:r>
          </w:p>
        </w:tc>
      </w:tr>
      <w:tr w:rsidR="00B71CA8" w:rsidRPr="00353F5C" w14:paraId="136E5FE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6FB87BB2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B71CA8" w:rsidRPr="00353F5C" w14:paraId="45604A65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28FA40CD" w14:textId="29F249B5" w:rsidR="00974FF2" w:rsidRPr="00520849" w:rsidRDefault="00974FF2" w:rsidP="00817BA1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Osnovni pojmovi i teorije: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(P5; IU1)</w:t>
            </w:r>
          </w:p>
          <w:p w14:paraId="2394D037" w14:textId="77777777" w:rsidR="00974FF2" w:rsidRPr="00974FF2" w:rsidRDefault="00974FF2" w:rsidP="00974F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Pojam, definicije, vrste, ciljevi, načela i metode organizacije </w:t>
            </w:r>
          </w:p>
          <w:p w14:paraId="1F049C5C" w14:textId="77777777" w:rsidR="00974FF2" w:rsidRPr="00974FF2" w:rsidRDefault="00974FF2" w:rsidP="00974F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definicije menadžmenta i teorije organizacije i menadžmenta</w:t>
            </w:r>
          </w:p>
          <w:p w14:paraId="0EEF28C0" w14:textId="77777777" w:rsidR="00974FF2" w:rsidRPr="00974FF2" w:rsidRDefault="00974FF2" w:rsidP="00974F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lastRenderedPageBreak/>
              <w:t>Različiti pristupi izučavanju menadžmenta</w:t>
            </w:r>
          </w:p>
          <w:p w14:paraId="07FB117D" w14:textId="36DB6262" w:rsidR="00974FF2" w:rsidRPr="00520849" w:rsidRDefault="00974FF2" w:rsidP="00817BA1">
            <w:pPr>
              <w:pStyle w:val="Odlomakpopisa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</w:pPr>
            <w:r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Menadžerska znanja i vještine</w:t>
            </w:r>
            <w:r w:rsidR="00817BA1"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 xml:space="preserve"> (P3; S5; IU1; IU2</w:t>
            </w:r>
            <w:r w:rsidR="004D7C87"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; IU3</w:t>
            </w:r>
            <w:r w:rsidR="00817BA1"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45DAA3AE" w14:textId="603BEB3F" w:rsidR="00974FF2" w:rsidRPr="00520849" w:rsidRDefault="00974FF2" w:rsidP="00817BA1">
            <w:pPr>
              <w:pStyle w:val="Odlomakpopisa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</w:pPr>
            <w:r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Razine menadžmenta</w:t>
            </w:r>
            <w:r w:rsidR="00817BA1"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 xml:space="preserve"> (P</w:t>
            </w:r>
            <w:r w:rsidR="004D7C87"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3</w:t>
            </w:r>
            <w:r w:rsidR="00817BA1"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>; IU</w:t>
            </w:r>
          </w:p>
          <w:p w14:paraId="6FC617AF" w14:textId="206B1CF2" w:rsidR="00974FF2" w:rsidRPr="00520849" w:rsidRDefault="00974FF2" w:rsidP="00817BA1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0849"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>Menadžment i okolina</w:t>
            </w:r>
            <w:r w:rsidR="004D7C87" w:rsidRPr="00520849">
              <w:rPr>
                <w:rFonts w:ascii="Arial Narrow" w:eastAsia="Calibri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>(P4; IU2; IU3)</w:t>
            </w:r>
          </w:p>
          <w:p w14:paraId="1D878DBC" w14:textId="77777777" w:rsidR="00974FF2" w:rsidRPr="00974FF2" w:rsidRDefault="00974FF2" w:rsidP="00974FF2">
            <w:pPr>
              <w:numPr>
                <w:ilvl w:val="0"/>
                <w:numId w:val="10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Eksterna okolina</w:t>
            </w:r>
          </w:p>
          <w:p w14:paraId="74553432" w14:textId="77777777" w:rsidR="00974FF2" w:rsidRPr="00974FF2" w:rsidRDefault="00974FF2" w:rsidP="00974F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Interna okolina</w:t>
            </w:r>
          </w:p>
          <w:p w14:paraId="03C04646" w14:textId="3140A6B6" w:rsidR="00974FF2" w:rsidRPr="00520849" w:rsidRDefault="00974FF2" w:rsidP="00817BA1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520849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Menadžerske funkcije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(P</w:t>
            </w:r>
            <w:r w:rsidR="004D7C87"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20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, S5; IU 1; IU2</w:t>
            </w:r>
            <w:r w:rsidR="004D7C87"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; IU3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)</w:t>
            </w:r>
          </w:p>
          <w:p w14:paraId="02549252" w14:textId="77777777" w:rsidR="00974FF2" w:rsidRPr="00974FF2" w:rsidRDefault="00974FF2" w:rsidP="00974FF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Planiranje - menadžerska funkcija </w:t>
            </w:r>
          </w:p>
          <w:p w14:paraId="017E11AF" w14:textId="77777777" w:rsidR="00974FF2" w:rsidRPr="00974FF2" w:rsidRDefault="00974FF2" w:rsidP="00974FF2">
            <w:pPr>
              <w:numPr>
                <w:ilvl w:val="0"/>
                <w:numId w:val="11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Važnost planiranja </w:t>
            </w:r>
          </w:p>
          <w:p w14:paraId="5C791B66" w14:textId="77777777" w:rsidR="00974FF2" w:rsidRPr="00974FF2" w:rsidRDefault="00974FF2" w:rsidP="00974FF2">
            <w:pPr>
              <w:numPr>
                <w:ilvl w:val="0"/>
                <w:numId w:val="11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Razine planiranja</w:t>
            </w:r>
          </w:p>
          <w:p w14:paraId="2D1D0B11" w14:textId="77777777" w:rsidR="00974FF2" w:rsidRPr="00974FF2" w:rsidRDefault="00974FF2" w:rsidP="00974FF2">
            <w:pPr>
              <w:numPr>
                <w:ilvl w:val="0"/>
                <w:numId w:val="11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Vrste planova </w:t>
            </w:r>
          </w:p>
          <w:p w14:paraId="4E3E4AF0" w14:textId="77777777" w:rsidR="00974FF2" w:rsidRPr="00974FF2" w:rsidRDefault="00974FF2" w:rsidP="00974FF2">
            <w:pPr>
              <w:numPr>
                <w:ilvl w:val="0"/>
                <w:numId w:val="11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Koraci u planiranju </w:t>
            </w:r>
          </w:p>
          <w:p w14:paraId="46CDC921" w14:textId="77777777" w:rsidR="00974FF2" w:rsidRPr="00974FF2" w:rsidRDefault="00974FF2" w:rsidP="00974FF2">
            <w:pPr>
              <w:numPr>
                <w:ilvl w:val="0"/>
                <w:numId w:val="11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Vrijeme planiranja</w:t>
            </w:r>
          </w:p>
          <w:p w14:paraId="0BFFB9F6" w14:textId="77777777" w:rsidR="00974FF2" w:rsidRPr="00520849" w:rsidRDefault="00974FF2" w:rsidP="00974FF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Odgovornost za planiranje</w:t>
            </w:r>
          </w:p>
          <w:p w14:paraId="12DF4E1E" w14:textId="0C0EB7A0" w:rsidR="00974FF2" w:rsidRPr="00974FF2" w:rsidRDefault="00974FF2" w:rsidP="00974FF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Theme="minorHAnsi" w:hAnsi="Arial Narrow" w:cs="Arial"/>
                <w:kern w:val="2"/>
                <w:sz w:val="22"/>
                <w:szCs w:val="22"/>
                <w:lang w:eastAsia="en-US"/>
                <w14:ligatures w14:val="standardContextual"/>
              </w:rPr>
              <w:t>Organiziranje - menadžerska funkcija .</w:t>
            </w:r>
          </w:p>
          <w:p w14:paraId="1BC49E8E" w14:textId="77777777" w:rsidR="00974FF2" w:rsidRPr="00974FF2" w:rsidRDefault="00974FF2" w:rsidP="00974FF2">
            <w:pPr>
              <w:numPr>
                <w:ilvl w:val="0"/>
                <w:numId w:val="11"/>
              </w:numPr>
              <w:spacing w:after="160"/>
              <w:contextualSpacing/>
              <w:rPr>
                <w:rFonts w:ascii="Arial Narrow" w:eastAsiaTheme="minorHAnsi" w:hAnsi="Arial Narrow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Theme="minorHAnsi" w:hAnsi="Arial Narrow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Upravljanje ljudskim potencijalima - menadžerska funkcija </w:t>
            </w:r>
          </w:p>
          <w:p w14:paraId="61037644" w14:textId="77777777" w:rsidR="00974FF2" w:rsidRPr="00974FF2" w:rsidRDefault="00974FF2" w:rsidP="00974FF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Vođenje - menadžerska funkcija </w:t>
            </w:r>
          </w:p>
          <w:p w14:paraId="5CDCEFE2" w14:textId="3CFAB204" w:rsidR="00974FF2" w:rsidRPr="00520849" w:rsidRDefault="00974FF2" w:rsidP="00817BA1">
            <w:pPr>
              <w:pStyle w:val="Odlomakpopisa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</w:pPr>
            <w:r w:rsidRPr="00520849">
              <w:rPr>
                <w:rFonts w:ascii="Arial Narrow" w:eastAsia="Calibri" w:hAnsi="Arial Narrow" w:cs="Arial"/>
                <w:b/>
                <w:bCs/>
                <w:sz w:val="22"/>
                <w:szCs w:val="22"/>
                <w:lang w:eastAsia="en-US"/>
              </w:rPr>
              <w:t xml:space="preserve">Donošenje odluka  - </w:t>
            </w:r>
            <w:r w:rsidRPr="00520849"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menadžerska funkcija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(P5; IU2</w:t>
            </w:r>
            <w:r w:rsidR="004D7C87" w:rsidRPr="00520849"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; IU3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  <w:p w14:paraId="22EBA17F" w14:textId="77777777" w:rsidR="00974FF2" w:rsidRPr="00974FF2" w:rsidRDefault="00974FF2" w:rsidP="00974FF2">
            <w:pPr>
              <w:numPr>
                <w:ilvl w:val="0"/>
                <w:numId w:val="12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Modeli donošenja odluka</w:t>
            </w:r>
          </w:p>
          <w:p w14:paraId="449F4A4C" w14:textId="77777777" w:rsidR="00974FF2" w:rsidRPr="00974FF2" w:rsidRDefault="00974FF2" w:rsidP="00974FF2">
            <w:pPr>
              <w:numPr>
                <w:ilvl w:val="0"/>
                <w:numId w:val="12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Proces donošenja odluka </w:t>
            </w:r>
          </w:p>
          <w:p w14:paraId="2DF21230" w14:textId="77777777" w:rsidR="00974FF2" w:rsidRPr="00974FF2" w:rsidRDefault="00974FF2" w:rsidP="00974FF2">
            <w:pPr>
              <w:numPr>
                <w:ilvl w:val="0"/>
                <w:numId w:val="12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Grupno odlučivanje </w:t>
            </w:r>
          </w:p>
          <w:p w14:paraId="3AB08757" w14:textId="77777777" w:rsidR="00974FF2" w:rsidRPr="00974FF2" w:rsidRDefault="00974FF2" w:rsidP="00974FF2">
            <w:pPr>
              <w:numPr>
                <w:ilvl w:val="0"/>
                <w:numId w:val="12"/>
              </w:numPr>
              <w:suppressAutoHyphens/>
              <w:autoSpaceDN w:val="0"/>
              <w:spacing w:after="160"/>
              <w:contextualSpacing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Tehnike donošenja odluka </w:t>
            </w:r>
          </w:p>
          <w:p w14:paraId="2144EE86" w14:textId="77777777" w:rsidR="00974FF2" w:rsidRPr="00974FF2" w:rsidRDefault="00974FF2" w:rsidP="00974FF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974FF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Pravila i standardne procedure</w:t>
            </w:r>
          </w:p>
          <w:p w14:paraId="6C7F3CF4" w14:textId="02E7496C" w:rsidR="00974FF2" w:rsidRPr="00520849" w:rsidRDefault="00974FF2" w:rsidP="00817BA1">
            <w:pPr>
              <w:pStyle w:val="Odlomakpopisa"/>
              <w:numPr>
                <w:ilvl w:val="0"/>
                <w:numId w:val="14"/>
              </w:numPr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20849"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Kontrola - menadžerska funkcija</w:t>
            </w:r>
            <w:r w:rsidR="00817BA1" w:rsidRPr="00520849"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817BA1" w:rsidRPr="005208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</w:t>
            </w:r>
            <w:r w:rsidR="004D7C87" w:rsidRPr="005208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17BA1" w:rsidRPr="005208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IU</w:t>
            </w:r>
            <w:r w:rsidR="004D7C87" w:rsidRPr="005208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 IU2</w:t>
            </w:r>
            <w:r w:rsidR="00817BA1" w:rsidRPr="005208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1545EF8A" w14:textId="1B4B4E5C" w:rsidR="00817BA1" w:rsidRPr="00520849" w:rsidRDefault="00817BA1" w:rsidP="00817BA1">
            <w:pPr>
              <w:pStyle w:val="Odlomakpopisa"/>
              <w:numPr>
                <w:ilvl w:val="0"/>
                <w:numId w:val="14"/>
              </w:numPr>
              <w:rPr>
                <w:rFonts w:ascii="Arial Narrow" w:eastAsiaTheme="minorHAnsi" w:hAnsi="Arial Narr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</w:t>
            </w:r>
            <w:r w:rsidRPr="00F4254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enadžment u sestrinskoj praksi</w:t>
            </w: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(S</w:t>
            </w:r>
            <w:r w:rsidR="004D7C87"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; IU5)</w:t>
            </w:r>
          </w:p>
          <w:p w14:paraId="68525845" w14:textId="30BA2A06" w:rsidR="00974FF2" w:rsidRPr="00520849" w:rsidRDefault="00817BA1" w:rsidP="00817BA1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</w:t>
            </w:r>
            <w:r w:rsidRPr="00F4254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tandard</w:t>
            </w: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</w:t>
            </w:r>
            <w:r w:rsidRPr="00F4254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i norme za upravljanje kvalitetom</w:t>
            </w: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(P3, IU</w:t>
            </w:r>
            <w:r w:rsidR="004D7C87"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  <w:r w:rsidRPr="0052084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0BEF1DF4" w14:textId="77777777" w:rsidR="00520849" w:rsidRPr="00520849" w:rsidRDefault="00520849" w:rsidP="00520849">
            <w:pPr>
              <w:pStyle w:val="Odlomakpopisa"/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06FAF3E9" w14:textId="44D576CA" w:rsidR="00520849" w:rsidRPr="0043055E" w:rsidRDefault="00520849" w:rsidP="00520849">
            <w:pPr>
              <w:spacing w:before="60" w:after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3055E">
              <w:rPr>
                <w:rFonts w:ascii="Arial Narrow" w:hAnsi="Arial Narrow" w:cs="Arial"/>
                <w:b/>
                <w:bCs/>
                <w:sz w:val="22"/>
                <w:szCs w:val="22"/>
              </w:rPr>
              <w:t>Nastava kliničkih vježbi (30 V) prati sadržaje teorijske nastave.</w:t>
            </w:r>
          </w:p>
          <w:p w14:paraId="2EEC96C2" w14:textId="53AE1179" w:rsidR="00B71CA8" w:rsidRPr="00520849" w:rsidRDefault="00B71CA8" w:rsidP="00974FF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  <w:tr w:rsidR="00B71CA8" w:rsidRPr="00353F5C" w14:paraId="09F24564" w14:textId="77777777" w:rsidTr="005D3CA4">
        <w:trPr>
          <w:trHeight w:val="432"/>
        </w:trPr>
        <w:tc>
          <w:tcPr>
            <w:tcW w:w="2422" w:type="pct"/>
            <w:gridSpan w:val="5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1A12EE31" w14:textId="77777777" w:rsidR="00B71CA8" w:rsidRPr="00353F5C" w:rsidRDefault="00B71CA8" w:rsidP="00B71CA8">
            <w:pPr>
              <w:pStyle w:val="Tijeloteksta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lastRenderedPageBreak/>
              <w:t xml:space="preserve">Vrste izvođenja nastave  </w:t>
            </w:r>
          </w:p>
        </w:tc>
        <w:tc>
          <w:tcPr>
            <w:tcW w:w="1291" w:type="pct"/>
            <w:gridSpan w:val="3"/>
            <w:tcBorders>
              <w:bottom w:val="single" w:sz="4" w:space="0" w:color="000000"/>
            </w:tcBorders>
            <w:vAlign w:val="center"/>
          </w:tcPr>
          <w:p w14:paraId="63489E0C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predavanja</w:t>
            </w:r>
          </w:p>
          <w:p w14:paraId="73E420C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seminari i radionice </w:t>
            </w:r>
          </w:p>
          <w:p w14:paraId="11CB4EA3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vježbe </w:t>
            </w:r>
          </w:p>
          <w:p w14:paraId="3F9487E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obrazovanje na daljinu</w:t>
            </w:r>
          </w:p>
          <w:p w14:paraId="402F583A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terenska nastava</w:t>
            </w:r>
          </w:p>
        </w:tc>
        <w:tc>
          <w:tcPr>
            <w:tcW w:w="1287" w:type="pct"/>
            <w:gridSpan w:val="2"/>
            <w:tcBorders>
              <w:bottom w:val="single" w:sz="4" w:space="0" w:color="000000"/>
            </w:tcBorders>
            <w:vAlign w:val="center"/>
          </w:tcPr>
          <w:p w14:paraId="73588DB2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samostalni zadaci  </w:t>
            </w:r>
          </w:p>
          <w:p w14:paraId="2740E3B2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multimedija i mreža  </w:t>
            </w:r>
          </w:p>
          <w:p w14:paraId="7F6BEB38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laboratorij</w:t>
            </w:r>
          </w:p>
          <w:p w14:paraId="6A2BAF17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mentorski rad</w:t>
            </w:r>
          </w:p>
          <w:p w14:paraId="28E8E6FD" w14:textId="77777777" w:rsidR="00B71CA8" w:rsidRPr="00353F5C" w:rsidRDefault="00B71CA8" w:rsidP="005D3CA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r>
            <w:r w:rsidR="0000000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fldChar w:fldCharType="end"/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ostalo ___________________</w:t>
            </w:r>
          </w:p>
        </w:tc>
      </w:tr>
      <w:tr w:rsidR="00B71CA8" w:rsidRPr="00353F5C" w14:paraId="364F3CAA" w14:textId="77777777" w:rsidTr="005D3CA4">
        <w:trPr>
          <w:trHeight w:val="432"/>
        </w:trPr>
        <w:tc>
          <w:tcPr>
            <w:tcW w:w="5000" w:type="pct"/>
            <w:gridSpan w:val="10"/>
            <w:shd w:val="pct20" w:color="auto" w:fill="auto"/>
            <w:vAlign w:val="center"/>
          </w:tcPr>
          <w:p w14:paraId="2E5CB9C3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Komentari</w:t>
            </w:r>
          </w:p>
        </w:tc>
      </w:tr>
      <w:tr w:rsidR="00B71CA8" w:rsidRPr="00353F5C" w14:paraId="10627C91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8D722E5" w14:textId="77777777" w:rsidR="00B71CA8" w:rsidRPr="00353F5C" w:rsidRDefault="00B71CA8" w:rsidP="00B71CA8">
            <w:pPr>
              <w:pStyle w:val="Tijeloteksta"/>
              <w:numPr>
                <w:ilvl w:val="0"/>
                <w:numId w:val="2"/>
              </w:numPr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Obveze studenata</w:t>
            </w:r>
          </w:p>
        </w:tc>
      </w:tr>
      <w:tr w:rsidR="00B71CA8" w:rsidRPr="00353F5C" w14:paraId="2B492A83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7DF242AF" w14:textId="77777777" w:rsidR="00705F78" w:rsidRPr="008769B1" w:rsidRDefault="00705F78" w:rsidP="00705F78">
            <w:pPr>
              <w:pStyle w:val="FieldText"/>
              <w:ind w:left="454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8769B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Obveze studenta odnose se na redovito pohađanje nastave. Student treba prisustvovati na najmanje 80% sati predavanja, 100% seminara te na 100% vježbovne nastave na kliničkim vježbama. Evidencija prisutnosti provodi se prozivanjem/ pomoću potpisnih listi. Studenti su obvezni aktivno sudjelovati tijekom nastave. </w:t>
            </w:r>
          </w:p>
          <w:p w14:paraId="2D518432" w14:textId="7BE750CB" w:rsidR="00B71CA8" w:rsidRPr="00353F5C" w:rsidRDefault="00705F78" w:rsidP="008769B1">
            <w:pPr>
              <w:pStyle w:val="FieldText"/>
              <w:ind w:left="454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8769B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Tijekom izvođenja praktične nastave u kući bolesnika studenti trebaju poštovati pravila zdravstvene ustanove, koja izvodi postupke, pravila Etičkog kodeksa</w:t>
            </w:r>
            <w:r w:rsidR="008769B1" w:rsidRPr="008769B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.</w:t>
            </w:r>
            <w:r w:rsidRPr="008769B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 xml:space="preserve"> Potrebno je izraditi Seminarski rad na zadanu temu prema uputama za izradu seminarskog rada.</w:t>
            </w:r>
          </w:p>
        </w:tc>
      </w:tr>
      <w:tr w:rsidR="00B71CA8" w:rsidRPr="00353F5C" w14:paraId="1C4A1189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0F0ADD8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Praćenje rada studenata</w:t>
            </w:r>
          </w:p>
        </w:tc>
      </w:tr>
      <w:tr w:rsidR="00B71CA8" w:rsidRPr="00353F5C" w14:paraId="7D2E5894" w14:textId="77777777" w:rsidTr="005D3CA4">
        <w:trPr>
          <w:trHeight w:val="111"/>
        </w:trPr>
        <w:tc>
          <w:tcPr>
            <w:tcW w:w="638" w:type="pct"/>
            <w:vAlign w:val="center"/>
          </w:tcPr>
          <w:p w14:paraId="608F74FB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lastRenderedPageBreak/>
              <w:t>Pohađanje nastave</w:t>
            </w:r>
          </w:p>
        </w:tc>
        <w:tc>
          <w:tcPr>
            <w:tcW w:w="395" w:type="pct"/>
            <w:vAlign w:val="center"/>
          </w:tcPr>
          <w:p w14:paraId="7A87B492" w14:textId="6B3BF9A2" w:rsidR="00B71CA8" w:rsidRPr="00353F5C" w:rsidRDefault="00520849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0.5</w:t>
            </w:r>
          </w:p>
        </w:tc>
        <w:tc>
          <w:tcPr>
            <w:tcW w:w="729" w:type="pct"/>
            <w:vAlign w:val="center"/>
          </w:tcPr>
          <w:p w14:paraId="43273AC0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Aktivnost u nastavi  </w:t>
            </w:r>
          </w:p>
        </w:tc>
        <w:tc>
          <w:tcPr>
            <w:tcW w:w="380" w:type="pct"/>
            <w:vAlign w:val="center"/>
          </w:tcPr>
          <w:p w14:paraId="5305BF60" w14:textId="71AE79FC" w:rsidR="00B71CA8" w:rsidRPr="00353F5C" w:rsidRDefault="00520849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657" w:type="pct"/>
            <w:gridSpan w:val="2"/>
            <w:vAlign w:val="center"/>
          </w:tcPr>
          <w:p w14:paraId="1E8BA7BC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Seminarski rad</w:t>
            </w:r>
          </w:p>
        </w:tc>
        <w:tc>
          <w:tcPr>
            <w:tcW w:w="363" w:type="pct"/>
            <w:vAlign w:val="center"/>
          </w:tcPr>
          <w:p w14:paraId="6EAE9350" w14:textId="5C0FA464" w:rsidR="00B71CA8" w:rsidRPr="00353F5C" w:rsidRDefault="00520849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893" w:type="pct"/>
            <w:gridSpan w:val="2"/>
            <w:vAlign w:val="center"/>
          </w:tcPr>
          <w:p w14:paraId="3A5650DC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Eksperimentalni rad</w:t>
            </w:r>
          </w:p>
        </w:tc>
        <w:tc>
          <w:tcPr>
            <w:tcW w:w="945" w:type="pct"/>
            <w:vAlign w:val="center"/>
          </w:tcPr>
          <w:p w14:paraId="1C68D7DF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7052CC44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76092C69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Pismeni ispit</w:t>
            </w:r>
          </w:p>
        </w:tc>
        <w:tc>
          <w:tcPr>
            <w:tcW w:w="395" w:type="pct"/>
            <w:vAlign w:val="center"/>
          </w:tcPr>
          <w:p w14:paraId="58F9A1B8" w14:textId="5F2282F8" w:rsidR="00B71CA8" w:rsidRPr="00353F5C" w:rsidRDefault="00520849" w:rsidP="00520849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729" w:type="pct"/>
            <w:vAlign w:val="center"/>
          </w:tcPr>
          <w:p w14:paraId="7BBDE722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</w:t>
            </w:r>
          </w:p>
          <w:p w14:paraId="3F58F4A5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0" w:type="pct"/>
            <w:vAlign w:val="center"/>
          </w:tcPr>
          <w:p w14:paraId="52AE29FE" w14:textId="2779981C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7E8DDD1F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Esej</w:t>
            </w:r>
          </w:p>
        </w:tc>
        <w:tc>
          <w:tcPr>
            <w:tcW w:w="363" w:type="pct"/>
            <w:vAlign w:val="center"/>
          </w:tcPr>
          <w:p w14:paraId="2368E506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0A26ED47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Istraživanje</w:t>
            </w:r>
          </w:p>
        </w:tc>
        <w:tc>
          <w:tcPr>
            <w:tcW w:w="945" w:type="pct"/>
            <w:vAlign w:val="center"/>
          </w:tcPr>
          <w:p w14:paraId="126964F5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5D0BF103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33732E90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395" w:type="pct"/>
            <w:vAlign w:val="center"/>
          </w:tcPr>
          <w:p w14:paraId="64CE067A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729" w:type="pct"/>
            <w:vAlign w:val="center"/>
          </w:tcPr>
          <w:p w14:paraId="4EDB710D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Kontinuirana provjera znanja</w:t>
            </w:r>
          </w:p>
        </w:tc>
        <w:tc>
          <w:tcPr>
            <w:tcW w:w="380" w:type="pct"/>
            <w:vAlign w:val="center"/>
          </w:tcPr>
          <w:p w14:paraId="608B5811" w14:textId="520B8D55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5CBE5D6A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Referat</w:t>
            </w:r>
          </w:p>
        </w:tc>
        <w:tc>
          <w:tcPr>
            <w:tcW w:w="363" w:type="pct"/>
            <w:vAlign w:val="center"/>
          </w:tcPr>
          <w:p w14:paraId="0E12922A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797E02E3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Praktični rad</w:t>
            </w:r>
          </w:p>
        </w:tc>
        <w:tc>
          <w:tcPr>
            <w:tcW w:w="945" w:type="pct"/>
            <w:vAlign w:val="center"/>
          </w:tcPr>
          <w:p w14:paraId="7241B00E" w14:textId="7B0A8D00" w:rsidR="00B71CA8" w:rsidRPr="00353F5C" w:rsidRDefault="00520849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</w:p>
        </w:tc>
      </w:tr>
      <w:tr w:rsidR="00B71CA8" w:rsidRPr="00353F5C" w14:paraId="505EE993" w14:textId="77777777" w:rsidTr="005D3CA4">
        <w:trPr>
          <w:trHeight w:val="108"/>
        </w:trPr>
        <w:tc>
          <w:tcPr>
            <w:tcW w:w="638" w:type="pct"/>
            <w:vAlign w:val="center"/>
          </w:tcPr>
          <w:p w14:paraId="2E29D788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Portfolio</w:t>
            </w:r>
          </w:p>
        </w:tc>
        <w:tc>
          <w:tcPr>
            <w:tcW w:w="395" w:type="pct"/>
            <w:vAlign w:val="center"/>
          </w:tcPr>
          <w:p w14:paraId="163E5546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729" w:type="pct"/>
            <w:vAlign w:val="center"/>
          </w:tcPr>
          <w:p w14:paraId="705A223D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0" w:type="pct"/>
            <w:vAlign w:val="center"/>
          </w:tcPr>
          <w:p w14:paraId="4CE066C2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657" w:type="pct"/>
            <w:gridSpan w:val="2"/>
            <w:vAlign w:val="center"/>
          </w:tcPr>
          <w:p w14:paraId="57D31032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63" w:type="pct"/>
            <w:vAlign w:val="center"/>
          </w:tcPr>
          <w:p w14:paraId="57212155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893" w:type="pct"/>
            <w:gridSpan w:val="2"/>
            <w:vAlign w:val="center"/>
          </w:tcPr>
          <w:p w14:paraId="2D08AB8C" w14:textId="77777777" w:rsidR="00B71CA8" w:rsidRPr="00353F5C" w:rsidRDefault="00B71CA8" w:rsidP="005D3CA4">
            <w:pPr>
              <w:pStyle w:val="Tijeloteksta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945" w:type="pct"/>
            <w:vAlign w:val="center"/>
          </w:tcPr>
          <w:p w14:paraId="40A9E264" w14:textId="77777777" w:rsidR="00B71CA8" w:rsidRPr="00353F5C" w:rsidRDefault="00B71CA8" w:rsidP="005D3CA4">
            <w:pPr>
              <w:pStyle w:val="Tijeloteksta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instrText xml:space="preserve"> FORMTEXT </w:instrTex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separate"/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 </w:t>
            </w: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B71CA8" w:rsidRPr="00353F5C" w14:paraId="268F7742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4337EAC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Ocjenjivanje i vrednovanje rada studenata tijekom nastave i na završnom ispitu</w:t>
            </w:r>
          </w:p>
        </w:tc>
      </w:tr>
      <w:tr w:rsidR="00B71CA8" w:rsidRPr="00353F5C" w14:paraId="4C0DA655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0B390221" w14:textId="31E5D508" w:rsidR="00705F78" w:rsidRPr="00705F78" w:rsidRDefault="00705F78" w:rsidP="00705F78">
            <w:pPr>
              <w:tabs>
                <w:tab w:val="left" w:pos="470"/>
              </w:tabs>
              <w:autoSpaceDN w:val="0"/>
              <w:jc w:val="both"/>
              <w:rPr>
                <w:rFonts w:ascii="Arial Narrow" w:hAnsi="Arial Narrow"/>
              </w:rPr>
            </w:pPr>
            <w:r w:rsidRPr="00705F78">
              <w:rPr>
                <w:rFonts w:ascii="Arial Narrow" w:hAnsi="Arial Narrow"/>
                <w:sz w:val="22"/>
                <w:szCs w:val="22"/>
              </w:rPr>
              <w:t xml:space="preserve">Dio bodova koji čine završnu ocjenu iz kolegija </w:t>
            </w:r>
            <w:r>
              <w:rPr>
                <w:rFonts w:ascii="Arial Narrow" w:hAnsi="Arial Narrow"/>
                <w:sz w:val="22"/>
                <w:szCs w:val="22"/>
              </w:rPr>
              <w:t xml:space="preserve">Osnove menadžmenta </w:t>
            </w:r>
            <w:r w:rsidRPr="00705F78">
              <w:rPr>
                <w:rFonts w:ascii="Arial Narrow" w:hAnsi="Arial Narrow"/>
                <w:sz w:val="22"/>
                <w:szCs w:val="22"/>
              </w:rPr>
              <w:t xml:space="preserve">student stječe tijekom nastave, a dio na završnom ispitu. </w:t>
            </w:r>
          </w:p>
          <w:p w14:paraId="7198BD0A" w14:textId="45BB047A" w:rsidR="00705F78" w:rsidRPr="00705F78" w:rsidRDefault="00705F78" w:rsidP="00705F78">
            <w:pPr>
              <w:numPr>
                <w:ilvl w:val="0"/>
                <w:numId w:val="8"/>
              </w:numPr>
              <w:tabs>
                <w:tab w:val="left" w:pos="470"/>
              </w:tabs>
              <w:suppressAutoHyphens/>
              <w:autoSpaceDN w:val="0"/>
              <w:contextualSpacing/>
              <w:jc w:val="both"/>
              <w:rPr>
                <w:rFonts w:ascii="Arial Narrow" w:hAnsi="Arial Narrow"/>
              </w:rPr>
            </w:pPr>
            <w:r w:rsidRPr="00705F78">
              <w:rPr>
                <w:rFonts w:ascii="Arial Narrow" w:hAnsi="Arial Narrow"/>
                <w:sz w:val="22"/>
                <w:szCs w:val="22"/>
              </w:rPr>
              <w:t>Seminarski rad 0-</w:t>
            </w:r>
            <w:r w:rsidR="00D67186">
              <w:rPr>
                <w:rFonts w:ascii="Arial Narrow" w:hAnsi="Arial Narrow"/>
                <w:sz w:val="22"/>
                <w:szCs w:val="22"/>
              </w:rPr>
              <w:t>5</w:t>
            </w:r>
            <w:r w:rsidRPr="00705F78">
              <w:rPr>
                <w:rFonts w:ascii="Arial Narrow" w:hAnsi="Arial Narrow"/>
                <w:sz w:val="22"/>
                <w:szCs w:val="22"/>
              </w:rPr>
              <w:t xml:space="preserve"> bodova </w:t>
            </w:r>
          </w:p>
          <w:p w14:paraId="0B99247E" w14:textId="7346C553" w:rsidR="00705F78" w:rsidRPr="00705F78" w:rsidRDefault="00705F78" w:rsidP="00705F78">
            <w:pPr>
              <w:numPr>
                <w:ilvl w:val="0"/>
                <w:numId w:val="8"/>
              </w:numPr>
              <w:tabs>
                <w:tab w:val="left" w:pos="470"/>
              </w:tabs>
              <w:suppressAutoHyphens/>
              <w:autoSpaceDN w:val="0"/>
              <w:contextualSpacing/>
              <w:jc w:val="both"/>
              <w:rPr>
                <w:rFonts w:ascii="Arial Narrow" w:hAnsi="Arial Narrow"/>
              </w:rPr>
            </w:pPr>
            <w:r w:rsidRPr="00705F78">
              <w:rPr>
                <w:rFonts w:ascii="Arial Narrow" w:hAnsi="Arial Narrow"/>
                <w:sz w:val="22"/>
                <w:szCs w:val="22"/>
              </w:rPr>
              <w:t xml:space="preserve">Završni ispit  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705F78">
              <w:rPr>
                <w:rFonts w:ascii="Arial Narrow" w:hAnsi="Arial Narrow"/>
                <w:sz w:val="22"/>
                <w:szCs w:val="22"/>
              </w:rPr>
              <w:t xml:space="preserve">-30 bodova </w:t>
            </w:r>
          </w:p>
          <w:p w14:paraId="68DEF298" w14:textId="3ED4447E" w:rsidR="00B71CA8" w:rsidRPr="00353F5C" w:rsidRDefault="00705F78" w:rsidP="00705F78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705F78">
              <w:rPr>
                <w:rFonts w:ascii="Arial Narrow" w:hAnsi="Arial Narrow"/>
                <w:sz w:val="22"/>
                <w:szCs w:val="22"/>
                <w:lang w:val="hr-HR"/>
              </w:rPr>
              <w:t xml:space="preserve">Završni ispit je pismeni ispit s pitanjima s višestrukim odabirom, pitanjima s kratkim odgovorom, pitanjima tipa eseja. Na pismenom dijelu ispita potrebno je točno odgovoriti na najmanje </w:t>
            </w:r>
            <w:r w:rsidR="00D67186">
              <w:rPr>
                <w:rFonts w:ascii="Arial Narrow" w:hAnsi="Arial Narrow"/>
                <w:sz w:val="22"/>
                <w:szCs w:val="22"/>
                <w:lang w:val="hr-HR"/>
              </w:rPr>
              <w:t>5</w:t>
            </w:r>
            <w:r w:rsidRPr="00705F78">
              <w:rPr>
                <w:rFonts w:ascii="Arial Narrow" w:hAnsi="Arial Narrow"/>
                <w:sz w:val="22"/>
                <w:szCs w:val="22"/>
                <w:lang w:val="hr-HR"/>
              </w:rPr>
              <w:t xml:space="preserve">0% pitanja.  Usmeni ispit - </w:t>
            </w:r>
            <w:r w:rsidRPr="00705F78">
              <w:rPr>
                <w:rFonts w:ascii="Arial Narrow" w:hAnsi="Arial Narrow" w:cs="Arial"/>
                <w:sz w:val="22"/>
                <w:szCs w:val="22"/>
                <w:lang w:val="hr-HR"/>
              </w:rPr>
              <w:t>za studente koji žele odgovarati za veću ocjenu, a ostvarili su najmanje ocjenu dovoljan (2) na pismenom dijelu. Usmenim ispitom moguće je ocjenu smanjiti ili povećati.</w:t>
            </w:r>
          </w:p>
        </w:tc>
      </w:tr>
      <w:tr w:rsidR="00B71CA8" w:rsidRPr="00353F5C" w14:paraId="63705EDA" w14:textId="77777777" w:rsidTr="005D3CA4">
        <w:trPr>
          <w:trHeight w:val="5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2B2E10C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 xml:space="preserve">Obvezatna literatura </w:t>
            </w:r>
          </w:p>
        </w:tc>
      </w:tr>
      <w:tr w:rsidR="00B71CA8" w:rsidRPr="00353F5C" w14:paraId="68681942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500FDC84" w14:textId="486EB12E" w:rsidR="00B71CA8" w:rsidRPr="00D67186" w:rsidRDefault="00705F78" w:rsidP="00B71CA8">
            <w:pPr>
              <w:pStyle w:val="FieldText"/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D67186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Mara Županić. Osnove menadžmenta - </w:t>
            </w:r>
            <w:r w:rsidR="007368C7" w:rsidRPr="00D67186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</w:t>
            </w:r>
            <w:r w:rsidRPr="00D67186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astavni tekstovi. Zagreb: Zdravstveno veleučilište; 2023.</w:t>
            </w:r>
          </w:p>
          <w:p w14:paraId="68F3B4B3" w14:textId="2D257ABC" w:rsidR="007368C7" w:rsidRPr="001432C3" w:rsidRDefault="007368C7" w:rsidP="00B71CA8">
            <w:pPr>
              <w:pStyle w:val="FieldText"/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1432C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Kalauz S. </w:t>
            </w:r>
            <w:r w:rsidRPr="001432C3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Organizacija i upravljanje u zdravstvenoj njezi, Medicinska naklada,</w:t>
            </w:r>
            <w:r w:rsidRPr="001432C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Zagreb, 2014.</w:t>
            </w:r>
          </w:p>
        </w:tc>
      </w:tr>
      <w:tr w:rsidR="00B71CA8" w:rsidRPr="00353F5C" w14:paraId="4E6E04EF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C9DD7D5" w14:textId="77777777" w:rsidR="00B71CA8" w:rsidRPr="001432C3" w:rsidRDefault="00B71CA8" w:rsidP="00B71CA8">
            <w:pPr>
              <w:pStyle w:val="Tijeloteksta"/>
              <w:numPr>
                <w:ilvl w:val="1"/>
                <w:numId w:val="2"/>
              </w:numPr>
              <w:tabs>
                <w:tab w:val="left" w:pos="494"/>
              </w:tabs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1432C3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 xml:space="preserve">Dopunska literatura </w:t>
            </w:r>
          </w:p>
        </w:tc>
      </w:tr>
      <w:tr w:rsidR="00B71CA8" w:rsidRPr="00353F5C" w14:paraId="61FE49F0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6DC016B8" w14:textId="1AE0EDD4" w:rsidR="00F57B89" w:rsidRPr="008769B1" w:rsidRDefault="00B71CA8" w:rsidP="00F57B89">
            <w:pPr>
              <w:pStyle w:val="Tijeloteksta"/>
              <w:tabs>
                <w:tab w:val="left" w:pos="90"/>
              </w:tabs>
              <w:ind w:left="36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1. </w:t>
            </w:r>
            <w:r w:rsidR="001432C3" w:rsidRPr="008769B1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Antal Balog. Osnove menadžmenta,  priručnik za online studij. Zaprešić: </w:t>
            </w:r>
            <w:r w:rsidR="001432C3" w:rsidRPr="008769B1">
              <w:rPr>
                <w:rFonts w:ascii="Arial Narrow" w:hAnsi="Arial Narrow"/>
                <w:sz w:val="22"/>
                <w:szCs w:val="22"/>
                <w:lang w:val="hr-HR"/>
              </w:rPr>
              <w:t>Veleučilište Baltazar Zaprešić; 2019.</w:t>
            </w:r>
          </w:p>
          <w:p w14:paraId="7D347F23" w14:textId="39C9F746" w:rsidR="00B71CA8" w:rsidRPr="00353F5C" w:rsidRDefault="00B71CA8" w:rsidP="005D3CA4">
            <w:pPr>
              <w:pStyle w:val="Tijeloteksta"/>
              <w:tabs>
                <w:tab w:val="left" w:pos="9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</w:tc>
      </w:tr>
      <w:tr w:rsidR="00B71CA8" w:rsidRPr="00353F5C" w14:paraId="622D703E" w14:textId="77777777" w:rsidTr="005D3CA4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3676F80" w14:textId="77777777" w:rsidR="00B71CA8" w:rsidRPr="00353F5C" w:rsidRDefault="00B71CA8" w:rsidP="00B71CA8">
            <w:pPr>
              <w:pStyle w:val="Tijeloteksta"/>
              <w:numPr>
                <w:ilvl w:val="1"/>
                <w:numId w:val="2"/>
              </w:numPr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/>
                <w:i/>
                <w:color w:val="000000"/>
                <w:sz w:val="24"/>
                <w:szCs w:val="24"/>
                <w:lang w:val="hr-HR"/>
              </w:rPr>
              <w:t>Načini praćenja kvalitete koji osiguravaju stjecanje izlaznih znanja, vještina i kompetencija</w:t>
            </w:r>
          </w:p>
        </w:tc>
      </w:tr>
      <w:tr w:rsidR="00B71CA8" w:rsidRPr="00353F5C" w14:paraId="055F3A29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01D938A8" w14:textId="369E94D7" w:rsidR="00B71CA8" w:rsidRPr="00D67186" w:rsidRDefault="00B71CA8" w:rsidP="005D3CA4">
            <w:pPr>
              <w:pStyle w:val="NoSpacing1"/>
              <w:jc w:val="both"/>
              <w:rPr>
                <w:rFonts w:ascii="Arial Narrow" w:hAnsi="Arial Narrow"/>
                <w:b/>
                <w:lang w:val="pl-PL"/>
              </w:rPr>
            </w:pPr>
            <w:r w:rsidRPr="00D67186">
              <w:rPr>
                <w:rFonts w:ascii="Arial Narrow" w:hAnsi="Arial Narrow"/>
              </w:rPr>
              <w:t>Izvedba programa prati se putem anonimne ankete o kvaliteti organizacije nastave, sadržaja predmeta i rada predavača. Ocjenjuju se koristi izlaganja, sadržaj, pripremljenost nastavnika, jas</w:t>
            </w:r>
            <w:smartTag w:uri="urn:schemas-microsoft-com:office:smarttags" w:element="time">
              <w:smartTagPr>
                <w:attr w:name="Minute" w:val="0"/>
                <w:attr w:name="Hour" w:val="0"/>
              </w:smartTagPr>
              <w:r w:rsidRPr="00D67186">
                <w:rPr>
                  <w:rFonts w:ascii="Arial Narrow" w:hAnsi="Arial Narrow"/>
                </w:rPr>
                <w:t>noća</w:t>
              </w:r>
            </w:smartTag>
            <w:r w:rsidRPr="00D67186">
              <w:rPr>
                <w:rFonts w:ascii="Arial Narrow" w:hAnsi="Arial Narrow"/>
              </w:rPr>
              <w:t xml:space="preserve"> izlaganja, količina novih sadržaja i ostale dimenzije sadržaja. Administrativno se uspoređuje plan i njegovo izvršenje, kao i broj studenata koji pohađaju predavanja i vježbe. Na kraju </w:t>
            </w:r>
            <w:r w:rsidR="00EB1A5B" w:rsidRPr="00D67186">
              <w:rPr>
                <w:rFonts w:ascii="Arial Narrow" w:hAnsi="Arial Narrow"/>
              </w:rPr>
              <w:t xml:space="preserve">akademske </w:t>
            </w:r>
            <w:r w:rsidRPr="00D67186">
              <w:rPr>
                <w:rFonts w:ascii="Arial Narrow" w:hAnsi="Arial Narrow"/>
              </w:rPr>
              <w:t xml:space="preserve">godine </w:t>
            </w:r>
            <w:r w:rsidR="00EB1A5B" w:rsidRPr="00D67186">
              <w:rPr>
                <w:rFonts w:ascii="Arial Narrow" w:hAnsi="Arial Narrow"/>
              </w:rPr>
              <w:t>provodi</w:t>
            </w:r>
            <w:r w:rsidRPr="00D67186">
              <w:rPr>
                <w:rFonts w:ascii="Arial Narrow" w:hAnsi="Arial Narrow"/>
              </w:rPr>
              <w:t xml:space="preserve"> se evaluacija prolaznosti i ocjena studenata.</w:t>
            </w:r>
          </w:p>
        </w:tc>
      </w:tr>
      <w:tr w:rsidR="007368C7" w:rsidRPr="00353F5C" w14:paraId="5C744FFC" w14:textId="77777777" w:rsidTr="00520849">
        <w:trPr>
          <w:trHeight w:val="432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3CFD4CB3" w14:textId="2B41DDDA" w:rsidR="007368C7" w:rsidRPr="00520849" w:rsidRDefault="007368C7" w:rsidP="005D3CA4">
            <w:pPr>
              <w:pStyle w:val="NoSpacing1"/>
              <w:jc w:val="both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20849">
              <w:rPr>
                <w:rFonts w:ascii="Arial Narrow" w:hAnsi="Arial Narrow"/>
                <w:i/>
                <w:iCs/>
                <w:sz w:val="24"/>
                <w:szCs w:val="24"/>
              </w:rPr>
              <w:t>Konzultacije:</w:t>
            </w:r>
          </w:p>
        </w:tc>
      </w:tr>
      <w:tr w:rsidR="007368C7" w:rsidRPr="00353F5C" w14:paraId="3F16A92A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6364800E" w14:textId="77777777" w:rsidR="007368C7" w:rsidRPr="007368C7" w:rsidRDefault="007368C7" w:rsidP="007368C7">
            <w:pPr>
              <w:autoSpaceDN w:val="0"/>
              <w:rPr>
                <w:rFonts w:ascii="Arial Narrow" w:hAnsi="Arial Narrow"/>
              </w:rPr>
            </w:pPr>
            <w:r w:rsidRPr="007368C7">
              <w:rPr>
                <w:rFonts w:ascii="Arial Narrow" w:hAnsi="Arial Narrow"/>
                <w:sz w:val="22"/>
                <w:szCs w:val="22"/>
              </w:rPr>
              <w:t>Mara Županić</w:t>
            </w:r>
          </w:p>
          <w:p w14:paraId="21918416" w14:textId="77777777" w:rsidR="007368C7" w:rsidRPr="007368C7" w:rsidRDefault="007368C7" w:rsidP="007368C7">
            <w:pPr>
              <w:autoSpaceDN w:val="0"/>
              <w:rPr>
                <w:rFonts w:ascii="Arial Narrow" w:hAnsi="Arial Narrow"/>
              </w:rPr>
            </w:pPr>
            <w:r w:rsidRPr="007368C7">
              <w:rPr>
                <w:rFonts w:ascii="Arial Narrow" w:hAnsi="Arial Narrow"/>
                <w:sz w:val="22"/>
                <w:szCs w:val="22"/>
              </w:rPr>
              <w:t xml:space="preserve">Konzultacije se održavaju četvrtkom 11.00 -13.00 sati na Zdravstvenom veleučilištu, Ksaver 209, 1 kat uz prethodnu najavu  ili putem aplikacije Microsoft Teams. </w:t>
            </w:r>
          </w:p>
          <w:p w14:paraId="66850227" w14:textId="77777777" w:rsidR="007368C7" w:rsidRPr="007368C7" w:rsidRDefault="007368C7" w:rsidP="007368C7">
            <w:pPr>
              <w:autoSpaceDN w:val="0"/>
            </w:pPr>
            <w:r w:rsidRPr="007368C7">
              <w:rPr>
                <w:rFonts w:ascii="Arial Narrow" w:hAnsi="Arial Narrow"/>
                <w:sz w:val="22"/>
                <w:szCs w:val="22"/>
              </w:rPr>
              <w:t xml:space="preserve">U slučaju konzultacija putem aplikacije Microsoft Teams potrebno je najaviti se putem maila:  </w:t>
            </w:r>
            <w:hyperlink r:id="rId5" w:history="1">
              <w:r w:rsidRPr="007368C7">
                <w:rPr>
                  <w:rFonts w:ascii="Arial Narrow" w:hAnsi="Arial Narrow"/>
                  <w:color w:val="0563C1"/>
                  <w:sz w:val="22"/>
                  <w:szCs w:val="22"/>
                  <w:u w:val="single"/>
                </w:rPr>
                <w:t>mara.zupanic@zvu.hr</w:t>
              </w:r>
            </w:hyperlink>
            <w:r w:rsidRPr="007368C7">
              <w:rPr>
                <w:rFonts w:ascii="Arial Narrow" w:hAnsi="Arial Narrow"/>
                <w:sz w:val="22"/>
                <w:szCs w:val="22"/>
              </w:rPr>
              <w:t xml:space="preserve"> kako bi dobili poveznicu na konzultacije. </w:t>
            </w:r>
          </w:p>
          <w:p w14:paraId="17B07AEC" w14:textId="77777777" w:rsidR="007368C7" w:rsidRPr="007368C7" w:rsidRDefault="007368C7" w:rsidP="007368C7">
            <w:pPr>
              <w:autoSpaceDN w:val="0"/>
              <w:rPr>
                <w:rFonts w:ascii="Arial Narrow" w:hAnsi="Arial Narrow"/>
              </w:rPr>
            </w:pPr>
          </w:p>
          <w:p w14:paraId="35FA932E" w14:textId="77777777" w:rsidR="007368C7" w:rsidRPr="007368C7" w:rsidRDefault="007368C7" w:rsidP="007368C7">
            <w:pPr>
              <w:autoSpaceDN w:val="0"/>
              <w:rPr>
                <w:rFonts w:ascii="Arial Narrow" w:hAnsi="Arial Narrow"/>
                <w:color w:val="000000"/>
              </w:rPr>
            </w:pPr>
            <w:r w:rsidRPr="007368C7">
              <w:rPr>
                <w:rFonts w:ascii="Arial Narrow" w:hAnsi="Arial Narrow"/>
                <w:color w:val="000000"/>
                <w:sz w:val="22"/>
                <w:szCs w:val="22"/>
              </w:rPr>
              <w:t>Olja Vori</w:t>
            </w:r>
          </w:p>
          <w:p w14:paraId="68ED1344" w14:textId="77777777" w:rsidR="007368C7" w:rsidRPr="007368C7" w:rsidRDefault="007368C7" w:rsidP="007368C7">
            <w:pPr>
              <w:autoSpaceDN w:val="0"/>
              <w:rPr>
                <w:rFonts w:ascii="Arial Narrow" w:hAnsi="Arial Narrow"/>
              </w:rPr>
            </w:pPr>
            <w:r w:rsidRPr="007368C7">
              <w:rPr>
                <w:rFonts w:ascii="Arial Narrow" w:hAnsi="Arial Narrow"/>
                <w:sz w:val="22"/>
                <w:szCs w:val="22"/>
              </w:rPr>
              <w:t xml:space="preserve">Konzultacije se održavaju ponedjeljkom 09.00 - 11.00 sati na Zdravstvenom veleučilištu, Ksaver 209, 1 kat uz prethodnu najavu  ili putem aplikacije Microsoft Teams. </w:t>
            </w:r>
          </w:p>
          <w:p w14:paraId="6A090373" w14:textId="77777777" w:rsidR="007368C7" w:rsidRPr="007368C7" w:rsidRDefault="007368C7" w:rsidP="007368C7">
            <w:pPr>
              <w:autoSpaceDN w:val="0"/>
              <w:rPr>
                <w:rFonts w:ascii="Arial Narrow" w:hAnsi="Arial Narrow"/>
              </w:rPr>
            </w:pPr>
            <w:r w:rsidRPr="007368C7">
              <w:rPr>
                <w:rFonts w:ascii="Arial Narrow" w:hAnsi="Arial Narrow"/>
                <w:sz w:val="22"/>
                <w:szCs w:val="22"/>
              </w:rPr>
              <w:t>U slučaju konzultacija putem aplikacije Microsoft Teams potrebno je najaviti se putem maila:</w:t>
            </w:r>
          </w:p>
          <w:p w14:paraId="76D63442" w14:textId="77777777" w:rsidR="007368C7" w:rsidRPr="007368C7" w:rsidRDefault="007368C7" w:rsidP="007368C7">
            <w:pPr>
              <w:autoSpaceDN w:val="0"/>
            </w:pPr>
            <w:r w:rsidRPr="007368C7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6" w:history="1">
              <w:r w:rsidRPr="007368C7">
                <w:rPr>
                  <w:rFonts w:ascii="Arial Narrow" w:hAnsi="Arial Narrow"/>
                  <w:color w:val="0563C1"/>
                  <w:sz w:val="22"/>
                  <w:szCs w:val="22"/>
                  <w:u w:val="single"/>
                </w:rPr>
                <w:t>olja.vori@zvu.hr</w:t>
              </w:r>
            </w:hyperlink>
            <w:r w:rsidRPr="007368C7">
              <w:rPr>
                <w:rFonts w:ascii="Arial Narrow" w:hAnsi="Arial Narrow"/>
                <w:sz w:val="22"/>
                <w:szCs w:val="22"/>
              </w:rPr>
              <w:t xml:space="preserve"> kako bi dobili poveznicu na konzultacije.</w:t>
            </w:r>
          </w:p>
          <w:p w14:paraId="27388A19" w14:textId="77777777" w:rsidR="007368C7" w:rsidRPr="00353F5C" w:rsidRDefault="007368C7" w:rsidP="005D3CA4">
            <w:pPr>
              <w:pStyle w:val="NoSpacing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68C7" w:rsidRPr="00353F5C" w14:paraId="33C035FD" w14:textId="77777777" w:rsidTr="00520849">
        <w:trPr>
          <w:trHeight w:val="432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4712B540" w14:textId="18E8BC0E" w:rsidR="007368C7" w:rsidRPr="00520849" w:rsidRDefault="007368C7" w:rsidP="007368C7">
            <w:pPr>
              <w:autoSpaceDN w:val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520849">
              <w:rPr>
                <w:rFonts w:ascii="Arial Narrow" w:hAnsi="Arial Narrow"/>
                <w:i/>
                <w:iCs/>
                <w:sz w:val="22"/>
                <w:szCs w:val="22"/>
              </w:rPr>
              <w:t>Kontakt:</w:t>
            </w:r>
          </w:p>
        </w:tc>
      </w:tr>
      <w:tr w:rsidR="007368C7" w:rsidRPr="00353F5C" w14:paraId="7CC20CEA" w14:textId="77777777" w:rsidTr="005D3CA4">
        <w:trPr>
          <w:trHeight w:val="432"/>
        </w:trPr>
        <w:tc>
          <w:tcPr>
            <w:tcW w:w="5000" w:type="pct"/>
            <w:gridSpan w:val="10"/>
            <w:vAlign w:val="center"/>
          </w:tcPr>
          <w:p w14:paraId="29F9E4BF" w14:textId="77777777" w:rsidR="007368C7" w:rsidRPr="007368C7" w:rsidRDefault="007368C7" w:rsidP="007368C7">
            <w:pPr>
              <w:tabs>
                <w:tab w:val="left" w:pos="470"/>
              </w:tabs>
              <w:autoSpaceDN w:val="0"/>
              <w:jc w:val="both"/>
              <w:rPr>
                <w:rFonts w:ascii="Arial Narrow" w:hAnsi="Arial Narrow"/>
                <w:iCs/>
                <w:color w:val="000000"/>
              </w:rPr>
            </w:pPr>
            <w:r w:rsidRPr="007368C7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Mara Županić, Zdravstveno veleučilište, Mlinarska 38</w:t>
            </w:r>
          </w:p>
          <w:p w14:paraId="72C94EDF" w14:textId="77777777" w:rsidR="007368C7" w:rsidRPr="007368C7" w:rsidRDefault="007368C7" w:rsidP="007368C7">
            <w:pPr>
              <w:tabs>
                <w:tab w:val="left" w:pos="470"/>
              </w:tabs>
              <w:autoSpaceDN w:val="0"/>
              <w:jc w:val="both"/>
            </w:pPr>
            <w:r w:rsidRPr="007368C7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e-mail: </w:t>
            </w:r>
            <w:hyperlink r:id="rId7" w:history="1">
              <w:r w:rsidRPr="007368C7">
                <w:rPr>
                  <w:rFonts w:ascii="Arial Narrow" w:hAnsi="Arial Narrow"/>
                  <w:color w:val="0563C1"/>
                  <w:sz w:val="22"/>
                  <w:szCs w:val="22"/>
                  <w:u w:val="single"/>
                  <w:lang w:val="en-US"/>
                </w:rPr>
                <w:t>mara.zupanic</w:t>
              </w:r>
              <w:r w:rsidRPr="007368C7">
                <w:rPr>
                  <w:rFonts w:ascii="Arial Narrow" w:hAnsi="Arial Narrow"/>
                  <w:iCs/>
                  <w:color w:val="0563C1"/>
                  <w:sz w:val="22"/>
                  <w:szCs w:val="22"/>
                  <w:u w:val="single"/>
                </w:rPr>
                <w:t>@zvu.hr</w:t>
              </w:r>
            </w:hyperlink>
            <w:r w:rsidRPr="007368C7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</w:p>
          <w:p w14:paraId="08388E91" w14:textId="7E7A98A0" w:rsidR="007368C7" w:rsidRPr="008769B1" w:rsidRDefault="007368C7" w:rsidP="008769B1">
            <w:pPr>
              <w:tabs>
                <w:tab w:val="left" w:pos="470"/>
              </w:tabs>
              <w:autoSpaceDN w:val="0"/>
              <w:jc w:val="both"/>
            </w:pPr>
            <w:r w:rsidRPr="007368C7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Tel: 01 54 95 91</w:t>
            </w:r>
            <w:r w:rsidRPr="007368C7">
              <w:rPr>
                <w:rFonts w:ascii="Arial Narrow" w:hAnsi="Arial Narrow"/>
                <w:iCs/>
                <w:color w:val="000000"/>
                <w:sz w:val="22"/>
                <w:szCs w:val="22"/>
                <w:lang w:val="en-US"/>
              </w:rPr>
              <w:t>8</w:t>
            </w:r>
          </w:p>
        </w:tc>
      </w:tr>
    </w:tbl>
    <w:p w14:paraId="3146E20F" w14:textId="77777777" w:rsidR="00B71CA8" w:rsidRPr="00353F5C" w:rsidRDefault="00B71CA8" w:rsidP="00B71CA8">
      <w:pPr>
        <w:spacing w:before="60" w:after="60"/>
        <w:rPr>
          <w:rFonts w:ascii="Arial Narrow" w:hAnsi="Arial Narrow" w:cs="Arial"/>
        </w:rPr>
      </w:pPr>
    </w:p>
    <w:p w14:paraId="1D70E0EE" w14:textId="77777777" w:rsidR="00B71CA8" w:rsidRDefault="00B71CA8"/>
    <w:sectPr w:rsidR="00B7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D08"/>
    <w:multiLevelType w:val="multilevel"/>
    <w:tmpl w:val="3918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" w15:restartNumberingAfterBreak="0">
    <w:nsid w:val="16EF0292"/>
    <w:multiLevelType w:val="multilevel"/>
    <w:tmpl w:val="9216D09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EF39DB"/>
    <w:multiLevelType w:val="hybridMultilevel"/>
    <w:tmpl w:val="67F0BD0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0D11"/>
    <w:multiLevelType w:val="hybridMultilevel"/>
    <w:tmpl w:val="DB445FE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3BC"/>
    <w:multiLevelType w:val="hybridMultilevel"/>
    <w:tmpl w:val="17CEC10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5BA8"/>
    <w:multiLevelType w:val="multilevel"/>
    <w:tmpl w:val="16D4440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CB6B30"/>
    <w:multiLevelType w:val="hybridMultilevel"/>
    <w:tmpl w:val="CA22279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816A9"/>
    <w:multiLevelType w:val="hybridMultilevel"/>
    <w:tmpl w:val="62105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D4B95"/>
    <w:multiLevelType w:val="hybridMultilevel"/>
    <w:tmpl w:val="9B2215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45B99"/>
    <w:multiLevelType w:val="hybridMultilevel"/>
    <w:tmpl w:val="9278846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B2965"/>
    <w:multiLevelType w:val="hybridMultilevel"/>
    <w:tmpl w:val="86C8114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86DB8"/>
    <w:multiLevelType w:val="hybridMultilevel"/>
    <w:tmpl w:val="133E8528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0738"/>
    <w:multiLevelType w:val="hybridMultilevel"/>
    <w:tmpl w:val="1D966ED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87A57"/>
    <w:multiLevelType w:val="multilevel"/>
    <w:tmpl w:val="419ECD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23829">
    <w:abstractNumId w:val="9"/>
  </w:num>
  <w:num w:numId="2" w16cid:durableId="378018059">
    <w:abstractNumId w:val="0"/>
  </w:num>
  <w:num w:numId="3" w16cid:durableId="2043901204">
    <w:abstractNumId w:val="3"/>
  </w:num>
  <w:num w:numId="4" w16cid:durableId="1459227206">
    <w:abstractNumId w:val="7"/>
  </w:num>
  <w:num w:numId="5" w16cid:durableId="1533957861">
    <w:abstractNumId w:val="13"/>
  </w:num>
  <w:num w:numId="6" w16cid:durableId="147209018">
    <w:abstractNumId w:val="1"/>
  </w:num>
  <w:num w:numId="7" w16cid:durableId="1455825117">
    <w:abstractNumId w:val="10"/>
  </w:num>
  <w:num w:numId="8" w16cid:durableId="2021618148">
    <w:abstractNumId w:val="5"/>
  </w:num>
  <w:num w:numId="9" w16cid:durableId="1284729189">
    <w:abstractNumId w:val="2"/>
  </w:num>
  <w:num w:numId="10" w16cid:durableId="500391438">
    <w:abstractNumId w:val="6"/>
  </w:num>
  <w:num w:numId="11" w16cid:durableId="299850691">
    <w:abstractNumId w:val="4"/>
  </w:num>
  <w:num w:numId="12" w16cid:durableId="13963225">
    <w:abstractNumId w:val="8"/>
  </w:num>
  <w:num w:numId="13" w16cid:durableId="962273975">
    <w:abstractNumId w:val="12"/>
  </w:num>
  <w:num w:numId="14" w16cid:durableId="1601374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A8"/>
    <w:rsid w:val="000015D2"/>
    <w:rsid w:val="0003737A"/>
    <w:rsid w:val="000406E4"/>
    <w:rsid w:val="001432C3"/>
    <w:rsid w:val="001D477F"/>
    <w:rsid w:val="001E1175"/>
    <w:rsid w:val="0020450C"/>
    <w:rsid w:val="003B40EB"/>
    <w:rsid w:val="004D7C87"/>
    <w:rsid w:val="005057E8"/>
    <w:rsid w:val="00520849"/>
    <w:rsid w:val="005F71B9"/>
    <w:rsid w:val="00705F78"/>
    <w:rsid w:val="007368C7"/>
    <w:rsid w:val="00766031"/>
    <w:rsid w:val="0079039B"/>
    <w:rsid w:val="00817BA1"/>
    <w:rsid w:val="008262CB"/>
    <w:rsid w:val="008769B1"/>
    <w:rsid w:val="008F6013"/>
    <w:rsid w:val="00974FF2"/>
    <w:rsid w:val="009A4C2E"/>
    <w:rsid w:val="00A14FDF"/>
    <w:rsid w:val="00A30AC3"/>
    <w:rsid w:val="00B71CA8"/>
    <w:rsid w:val="00CC4D80"/>
    <w:rsid w:val="00CF222C"/>
    <w:rsid w:val="00D67186"/>
    <w:rsid w:val="00DD75A1"/>
    <w:rsid w:val="00EB1A5B"/>
    <w:rsid w:val="00F132EF"/>
    <w:rsid w:val="00F42544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C5D0A49"/>
  <w15:chartTrackingRefBased/>
  <w15:docId w15:val="{C122D1C2-952E-4B12-A078-DD09F32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B71CA8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B71CA8"/>
    <w:pPr>
      <w:keepNext/>
      <w:spacing w:before="240" w:after="60"/>
      <w:outlineLvl w:val="2"/>
    </w:pPr>
    <w:rPr>
      <w:rFonts w:ascii="Arial Narrow" w:hAnsi="Arial Narrow"/>
      <w:bCs/>
      <w:szCs w:val="26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B71CA8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71CA8"/>
    <w:rPr>
      <w:rFonts w:ascii="Arial Narrow" w:eastAsia="Times New Roman" w:hAnsi="Arial Narrow" w:cs="Times New Roman"/>
      <w:bCs/>
      <w:sz w:val="24"/>
      <w:szCs w:val="26"/>
      <w:u w:val="single"/>
      <w:lang w:val="en-US" w:eastAsia="hr-HR"/>
    </w:rPr>
  </w:style>
  <w:style w:type="paragraph" w:styleId="Odlomakpopisa">
    <w:name w:val="List Paragraph"/>
    <w:basedOn w:val="Normal"/>
    <w:uiPriority w:val="34"/>
    <w:qFormat/>
    <w:rsid w:val="00B71CA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71CA8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B71CA8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B71CA8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B71CA8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B71CA8"/>
    <w:pPr>
      <w:spacing w:after="0" w:line="240" w:lineRule="auto"/>
    </w:pPr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1D47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D477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D477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47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477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a.zupanic@zvu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ja.vori@zvu.h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mara.zupanic@zvu.hr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D98B8452D3D4685B81B4216A69325" ma:contentTypeVersion="0" ma:contentTypeDescription="Stvaranje novog dokumenta." ma:contentTypeScope="" ma:versionID="6c49de551ed3f041d59cb67e8a6dec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E7384-8405-4FA9-82D7-F95415158753}"/>
</file>

<file path=customXml/itemProps2.xml><?xml version="1.0" encoding="utf-8"?>
<ds:datastoreItem xmlns:ds="http://schemas.openxmlformats.org/officeDocument/2006/customXml" ds:itemID="{D98A170B-8A9A-4AAB-8398-75C40A89A2E5}"/>
</file>

<file path=customXml/itemProps3.xml><?xml version="1.0" encoding="utf-8"?>
<ds:datastoreItem xmlns:ds="http://schemas.openxmlformats.org/officeDocument/2006/customXml" ds:itemID="{364DC00B-4B65-4255-9175-9F579BC41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Mara Županić</cp:lastModifiedBy>
  <cp:revision>5</cp:revision>
  <dcterms:created xsi:type="dcterms:W3CDTF">2023-10-01T17:22:00Z</dcterms:created>
  <dcterms:modified xsi:type="dcterms:W3CDTF">2023-10-01T17:42:00Z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0x010100B58D98B8452D3D4685B81B4216A69325</vt:lpwstr>
  </property>
</Properties>
</file>